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B62" w:rsidRDefault="00825B62">
      <w:pPr>
        <w:pStyle w:val="NoSpacing"/>
        <w:rPr>
          <w:lang w:val="en-US"/>
        </w:rPr>
      </w:pPr>
    </w:p>
    <w:p w:rsidR="008E4FB0" w:rsidRDefault="008E4FB0" w:rsidP="008D2723">
      <w:pPr>
        <w:spacing w:line="240" w:lineRule="auto"/>
        <w:jc w:val="center"/>
        <w:rPr>
          <w:b/>
          <w:lang w:val="en-US"/>
        </w:rPr>
      </w:pPr>
      <w:r>
        <w:rPr>
          <w:b/>
          <w:noProof/>
          <w:lang w:val="en-US"/>
        </w:rPr>
        <w:drawing>
          <wp:inline distT="0" distB="0" distL="0" distR="0">
            <wp:extent cx="837915" cy="798394"/>
            <wp:effectExtent l="19050" t="0" r="285" b="0"/>
            <wp:docPr id="1" name="Picture 1" descr="C:\Documents and Settings\francois.ally\Desktop\SRC Logo\src logo 10 x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francois.ally\Desktop\SRC Logo\src logo 10 x 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876" cy="797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723" w:rsidRPr="00E017B0" w:rsidRDefault="00377D96" w:rsidP="008D27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017B0">
        <w:rPr>
          <w:rFonts w:ascii="Times New Roman" w:hAnsi="Times New Roman" w:cs="Times New Roman"/>
          <w:b/>
          <w:sz w:val="24"/>
          <w:szCs w:val="24"/>
          <w:lang w:val="en-US"/>
        </w:rPr>
        <w:t>BASIC TAX I</w:t>
      </w:r>
      <w:r w:rsidR="00147124" w:rsidRPr="00E017B0">
        <w:rPr>
          <w:rFonts w:ascii="Times New Roman" w:hAnsi="Times New Roman" w:cs="Times New Roman"/>
          <w:b/>
          <w:sz w:val="24"/>
          <w:szCs w:val="24"/>
          <w:lang w:val="en-US"/>
        </w:rPr>
        <w:t>NFORMATION</w:t>
      </w:r>
      <w:r w:rsidR="008E4FB0" w:rsidRPr="00E017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FOR REGISTERED BUSINESS</w:t>
      </w:r>
      <w:r w:rsidR="003A5A29">
        <w:rPr>
          <w:rFonts w:ascii="Times New Roman" w:hAnsi="Times New Roman" w:cs="Times New Roman"/>
          <w:b/>
          <w:sz w:val="24"/>
          <w:szCs w:val="24"/>
          <w:lang w:val="en-US"/>
        </w:rPr>
        <w:t>ES</w:t>
      </w:r>
    </w:p>
    <w:p w:rsidR="00240B78" w:rsidRPr="00B20CF2" w:rsidRDefault="00F02F99" w:rsidP="009E4CC1">
      <w:p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As part of our strategy to educate taxpayers about the Revenue Laws,</w:t>
      </w:r>
      <w:r w:rsidR="000B531B" w:rsidRPr="00B20CF2">
        <w:rPr>
          <w:rFonts w:ascii="Times New Roman" w:hAnsi="Times New Roman" w:cs="Times New Roman"/>
          <w:lang w:val="en-US"/>
        </w:rPr>
        <w:t xml:space="preserve"> we would like to </w:t>
      </w:r>
      <w:r w:rsidR="00961950" w:rsidRPr="00B20CF2">
        <w:rPr>
          <w:rFonts w:ascii="Times New Roman" w:hAnsi="Times New Roman" w:cs="Times New Roman"/>
          <w:lang w:val="en-US"/>
        </w:rPr>
        <w:t>pass on</w:t>
      </w:r>
      <w:r w:rsidR="000B531B" w:rsidRPr="00B20CF2">
        <w:rPr>
          <w:rFonts w:ascii="Times New Roman" w:hAnsi="Times New Roman" w:cs="Times New Roman"/>
          <w:lang w:val="en-US"/>
        </w:rPr>
        <w:t xml:space="preserve"> some basic information </w:t>
      </w:r>
      <w:r w:rsidRPr="00B20CF2">
        <w:rPr>
          <w:rFonts w:ascii="Times New Roman" w:hAnsi="Times New Roman" w:cs="Times New Roman"/>
          <w:lang w:val="en-US"/>
        </w:rPr>
        <w:t xml:space="preserve">about </w:t>
      </w:r>
      <w:r w:rsidR="00961950" w:rsidRPr="00B20CF2">
        <w:rPr>
          <w:rFonts w:ascii="Times New Roman" w:hAnsi="Times New Roman" w:cs="Times New Roman"/>
          <w:lang w:val="en-US"/>
        </w:rPr>
        <w:t xml:space="preserve">the </w:t>
      </w:r>
      <w:r w:rsidRPr="00B20CF2">
        <w:rPr>
          <w:rFonts w:ascii="Times New Roman" w:hAnsi="Times New Roman" w:cs="Times New Roman"/>
          <w:lang w:val="en-US"/>
        </w:rPr>
        <w:t xml:space="preserve">applicability of each of the </w:t>
      </w:r>
      <w:r w:rsidR="00961950" w:rsidRPr="00B20CF2">
        <w:rPr>
          <w:rFonts w:ascii="Times New Roman" w:hAnsi="Times New Roman" w:cs="Times New Roman"/>
          <w:lang w:val="en-US"/>
        </w:rPr>
        <w:t>different taxes</w:t>
      </w:r>
      <w:r w:rsidRPr="00B20CF2">
        <w:rPr>
          <w:rFonts w:ascii="Times New Roman" w:hAnsi="Times New Roman" w:cs="Times New Roman"/>
          <w:lang w:val="en-US"/>
        </w:rPr>
        <w:t xml:space="preserve"> currently in force</w:t>
      </w:r>
      <w:r w:rsidR="00B75A3B" w:rsidRPr="00B20CF2">
        <w:rPr>
          <w:rFonts w:ascii="Times New Roman" w:hAnsi="Times New Roman" w:cs="Times New Roman"/>
          <w:lang w:val="en-US"/>
        </w:rPr>
        <w:t xml:space="preserve"> at the Seychelles Revenue Commission.</w:t>
      </w:r>
    </w:p>
    <w:p w:rsidR="00961950" w:rsidRDefault="00EC4109" w:rsidP="00961950">
      <w:pPr>
        <w:tabs>
          <w:tab w:val="left" w:pos="94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BUSINESS TAX REGISTRATION</w:t>
      </w:r>
    </w:p>
    <w:p w:rsidR="00E552FB" w:rsidRPr="00E70EA9" w:rsidRDefault="00E552FB" w:rsidP="00961950">
      <w:pPr>
        <w:tabs>
          <w:tab w:val="left" w:pos="94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61950" w:rsidRPr="00B20CF2" w:rsidRDefault="00961950" w:rsidP="0096195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You are now regis</w:t>
      </w:r>
      <w:r w:rsidR="00512EA7">
        <w:rPr>
          <w:rFonts w:ascii="Times New Roman" w:hAnsi="Times New Roman" w:cs="Times New Roman"/>
          <w:lang w:val="en-US"/>
        </w:rPr>
        <w:t>tered for Business Tax purposes;</w:t>
      </w:r>
      <w:r w:rsidRPr="00B20CF2">
        <w:rPr>
          <w:rFonts w:ascii="Times New Roman" w:hAnsi="Times New Roman" w:cs="Times New Roman"/>
          <w:lang w:val="en-US"/>
        </w:rPr>
        <w:t xml:space="preserve">  </w:t>
      </w:r>
    </w:p>
    <w:p w:rsidR="002A32B3" w:rsidRPr="00B20CF2" w:rsidRDefault="00F02F99" w:rsidP="007E1F6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Your unique</w:t>
      </w:r>
      <w:r w:rsidR="00961950" w:rsidRPr="00B20CF2">
        <w:rPr>
          <w:rFonts w:ascii="Times New Roman" w:hAnsi="Times New Roman" w:cs="Times New Roman"/>
          <w:lang w:val="en-US"/>
        </w:rPr>
        <w:t xml:space="preserve"> T</w:t>
      </w:r>
      <w:r w:rsidRPr="00B20CF2">
        <w:rPr>
          <w:rFonts w:ascii="Times New Roman" w:hAnsi="Times New Roman" w:cs="Times New Roman"/>
          <w:lang w:val="en-US"/>
        </w:rPr>
        <w:t xml:space="preserve">axpayer Identification Number </w:t>
      </w:r>
      <w:r w:rsidR="00961950" w:rsidRPr="00B20CF2">
        <w:rPr>
          <w:rFonts w:ascii="Times New Roman" w:hAnsi="Times New Roman" w:cs="Times New Roman"/>
          <w:lang w:val="en-US"/>
        </w:rPr>
        <w:t>must be used in all business tax</w:t>
      </w:r>
      <w:r w:rsidR="00512EA7">
        <w:rPr>
          <w:rFonts w:ascii="Times New Roman" w:hAnsi="Times New Roman" w:cs="Times New Roman"/>
          <w:lang w:val="en-US"/>
        </w:rPr>
        <w:t>ation dealings with this office;</w:t>
      </w:r>
    </w:p>
    <w:p w:rsidR="007E1F6F" w:rsidRPr="00B20CF2" w:rsidRDefault="007E1F6F" w:rsidP="0096195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If you are a sole trader or partnership business, an your taxable income is above SR150,000, you are liable to monthly Pay As You Go Instal</w:t>
      </w:r>
      <w:r w:rsidR="00512EA7">
        <w:rPr>
          <w:rFonts w:ascii="Times New Roman" w:hAnsi="Times New Roman" w:cs="Times New Roman"/>
          <w:lang w:val="en-US"/>
        </w:rPr>
        <w:t>l</w:t>
      </w:r>
      <w:r w:rsidRPr="00B20CF2">
        <w:rPr>
          <w:rFonts w:ascii="Times New Roman" w:hAnsi="Times New Roman" w:cs="Times New Roman"/>
          <w:lang w:val="en-US"/>
        </w:rPr>
        <w:t>ments</w:t>
      </w:r>
      <w:r w:rsidR="00512EA7">
        <w:rPr>
          <w:rFonts w:ascii="Times New Roman" w:hAnsi="Times New Roman" w:cs="Times New Roman"/>
          <w:lang w:val="en-US"/>
        </w:rPr>
        <w:t>;</w:t>
      </w:r>
    </w:p>
    <w:p w:rsidR="007E1F6F" w:rsidRPr="00B20CF2" w:rsidRDefault="007E1F6F" w:rsidP="0096195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If your business is an entity, and your forecasted revenue for the first year of business indicate a taxable income, you are liable to monthly Pay As You Go instal</w:t>
      </w:r>
      <w:r w:rsidR="00512EA7">
        <w:rPr>
          <w:rFonts w:ascii="Times New Roman" w:hAnsi="Times New Roman" w:cs="Times New Roman"/>
          <w:lang w:val="en-US"/>
        </w:rPr>
        <w:t>l</w:t>
      </w:r>
      <w:r w:rsidRPr="00B20CF2">
        <w:rPr>
          <w:rFonts w:ascii="Times New Roman" w:hAnsi="Times New Roman" w:cs="Times New Roman"/>
          <w:lang w:val="en-US"/>
        </w:rPr>
        <w:t>ments</w:t>
      </w:r>
      <w:r w:rsidR="00512EA7">
        <w:rPr>
          <w:rFonts w:ascii="Times New Roman" w:hAnsi="Times New Roman" w:cs="Times New Roman"/>
          <w:lang w:val="en-US"/>
        </w:rPr>
        <w:t>;</w:t>
      </w:r>
    </w:p>
    <w:p w:rsidR="0057626F" w:rsidRPr="00B20CF2" w:rsidRDefault="0057626F" w:rsidP="0096195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An application for variation of the Pay As You Go instal</w:t>
      </w:r>
      <w:r w:rsidR="00512EA7">
        <w:rPr>
          <w:rFonts w:ascii="Times New Roman" w:hAnsi="Times New Roman" w:cs="Times New Roman"/>
          <w:lang w:val="en-US"/>
        </w:rPr>
        <w:t>l</w:t>
      </w:r>
      <w:r w:rsidRPr="00B20CF2">
        <w:rPr>
          <w:rFonts w:ascii="Times New Roman" w:hAnsi="Times New Roman" w:cs="Times New Roman"/>
          <w:lang w:val="en-US"/>
        </w:rPr>
        <w:t>ments can be made</w:t>
      </w:r>
      <w:r w:rsidR="00512EA7">
        <w:rPr>
          <w:rFonts w:ascii="Times New Roman" w:hAnsi="Times New Roman" w:cs="Times New Roman"/>
          <w:lang w:val="en-US"/>
        </w:rPr>
        <w:t>;</w:t>
      </w:r>
    </w:p>
    <w:p w:rsidR="0057626F" w:rsidRPr="00B20CF2" w:rsidRDefault="0057626F" w:rsidP="0096195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 xml:space="preserve">A revised </w:t>
      </w:r>
      <w:r w:rsidR="002257A6" w:rsidRPr="00B20CF2">
        <w:rPr>
          <w:rFonts w:ascii="Times New Roman" w:hAnsi="Times New Roman" w:cs="Times New Roman"/>
          <w:lang w:val="en-US"/>
        </w:rPr>
        <w:t xml:space="preserve">cash flow </w:t>
      </w:r>
      <w:r w:rsidRPr="00B20CF2">
        <w:rPr>
          <w:rFonts w:ascii="Times New Roman" w:hAnsi="Times New Roman" w:cs="Times New Roman"/>
          <w:lang w:val="en-US"/>
        </w:rPr>
        <w:t>forecast must be attached</w:t>
      </w:r>
      <w:r w:rsidR="009F11F6" w:rsidRPr="00B20CF2">
        <w:rPr>
          <w:rFonts w:ascii="Times New Roman" w:hAnsi="Times New Roman" w:cs="Times New Roman"/>
          <w:lang w:val="en-US"/>
        </w:rPr>
        <w:t xml:space="preserve"> with </w:t>
      </w:r>
      <w:r w:rsidR="002257A6" w:rsidRPr="00B20CF2">
        <w:rPr>
          <w:rFonts w:ascii="Times New Roman" w:hAnsi="Times New Roman" w:cs="Times New Roman"/>
          <w:lang w:val="en-US"/>
        </w:rPr>
        <w:t>the</w:t>
      </w:r>
      <w:r w:rsidR="009F11F6" w:rsidRPr="00B20CF2">
        <w:rPr>
          <w:rFonts w:ascii="Times New Roman" w:hAnsi="Times New Roman" w:cs="Times New Roman"/>
          <w:lang w:val="en-US"/>
        </w:rPr>
        <w:t xml:space="preserve"> covering letter of explanation</w:t>
      </w:r>
      <w:r w:rsidR="002257A6" w:rsidRPr="00B20CF2">
        <w:rPr>
          <w:rFonts w:ascii="Times New Roman" w:hAnsi="Times New Roman" w:cs="Times New Roman"/>
          <w:lang w:val="en-US"/>
        </w:rPr>
        <w:t xml:space="preserve"> to state why you wish to apply for a variation</w:t>
      </w:r>
      <w:r w:rsidR="00512EA7">
        <w:rPr>
          <w:rFonts w:ascii="Times New Roman" w:hAnsi="Times New Roman" w:cs="Times New Roman"/>
          <w:lang w:val="en-US"/>
        </w:rPr>
        <w:t>;</w:t>
      </w:r>
    </w:p>
    <w:p w:rsidR="009F11F6" w:rsidRPr="00B20CF2" w:rsidRDefault="009F11F6" w:rsidP="0096195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 xml:space="preserve">If the actual revenue earned at the end of the year is more than 90% of the revised </w:t>
      </w:r>
      <w:r w:rsidR="002257A6" w:rsidRPr="00B20CF2">
        <w:rPr>
          <w:rFonts w:ascii="Times New Roman" w:hAnsi="Times New Roman" w:cs="Times New Roman"/>
          <w:lang w:val="en-US"/>
        </w:rPr>
        <w:t>taxable income</w:t>
      </w:r>
      <w:r w:rsidRPr="00B20CF2">
        <w:rPr>
          <w:rFonts w:ascii="Times New Roman" w:hAnsi="Times New Roman" w:cs="Times New Roman"/>
          <w:lang w:val="en-US"/>
        </w:rPr>
        <w:t xml:space="preserve">, a penalty of 10% of the amount </w:t>
      </w:r>
      <w:r w:rsidR="002257A6" w:rsidRPr="00B20CF2">
        <w:rPr>
          <w:rFonts w:ascii="Times New Roman" w:hAnsi="Times New Roman" w:cs="Times New Roman"/>
          <w:lang w:val="en-US"/>
        </w:rPr>
        <w:t>unpaid will b</w:t>
      </w:r>
      <w:r w:rsidRPr="00B20CF2">
        <w:rPr>
          <w:rFonts w:ascii="Times New Roman" w:hAnsi="Times New Roman" w:cs="Times New Roman"/>
          <w:lang w:val="en-US"/>
        </w:rPr>
        <w:t>e applied</w:t>
      </w:r>
      <w:r w:rsidR="00512EA7">
        <w:rPr>
          <w:rFonts w:ascii="Times New Roman" w:hAnsi="Times New Roman" w:cs="Times New Roman"/>
          <w:lang w:val="en-US"/>
        </w:rPr>
        <w:t>;</w:t>
      </w:r>
    </w:p>
    <w:p w:rsidR="00F02F99" w:rsidRPr="00B20CF2" w:rsidRDefault="00F02F99" w:rsidP="0096195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If your business falls in the category of Specified Business, you will be required to use a Deduction at Source certificate book to have the tax ded</w:t>
      </w:r>
      <w:r w:rsidR="002257A6" w:rsidRPr="00B20CF2">
        <w:rPr>
          <w:rFonts w:ascii="Times New Roman" w:hAnsi="Times New Roman" w:cs="Times New Roman"/>
          <w:lang w:val="en-US"/>
        </w:rPr>
        <w:t>ucted at source</w:t>
      </w:r>
      <w:r w:rsidR="00512EA7">
        <w:rPr>
          <w:rFonts w:ascii="Times New Roman" w:hAnsi="Times New Roman" w:cs="Times New Roman"/>
          <w:lang w:val="en-US"/>
        </w:rPr>
        <w:t>;</w:t>
      </w:r>
    </w:p>
    <w:p w:rsidR="00961950" w:rsidRPr="00B20CF2" w:rsidRDefault="002257A6" w:rsidP="0096195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Please keep SRC informed of c</w:t>
      </w:r>
      <w:r w:rsidR="00961950" w:rsidRPr="00B20CF2">
        <w:rPr>
          <w:rFonts w:ascii="Times New Roman" w:hAnsi="Times New Roman" w:cs="Times New Roman"/>
          <w:lang w:val="en-US"/>
        </w:rPr>
        <w:t xml:space="preserve">hanges </w:t>
      </w:r>
      <w:r w:rsidRPr="00B20CF2">
        <w:rPr>
          <w:rFonts w:ascii="Times New Roman" w:hAnsi="Times New Roman" w:cs="Times New Roman"/>
          <w:lang w:val="en-US"/>
        </w:rPr>
        <w:t>to your business, such as</w:t>
      </w:r>
      <w:r w:rsidR="00961950" w:rsidRPr="00B20CF2">
        <w:rPr>
          <w:rFonts w:ascii="Times New Roman" w:hAnsi="Times New Roman" w:cs="Times New Roman"/>
          <w:lang w:val="en-US"/>
        </w:rPr>
        <w:t xml:space="preserve"> business closure, </w:t>
      </w:r>
      <w:r w:rsidRPr="00B20CF2">
        <w:rPr>
          <w:rFonts w:ascii="Times New Roman" w:hAnsi="Times New Roman" w:cs="Times New Roman"/>
          <w:lang w:val="en-US"/>
        </w:rPr>
        <w:t xml:space="preserve">change in </w:t>
      </w:r>
      <w:r w:rsidR="00961950" w:rsidRPr="00B20CF2">
        <w:rPr>
          <w:rFonts w:ascii="Times New Roman" w:hAnsi="Times New Roman" w:cs="Times New Roman"/>
          <w:lang w:val="en-US"/>
        </w:rPr>
        <w:t>contact detai</w:t>
      </w:r>
      <w:r w:rsidRPr="00B20CF2">
        <w:rPr>
          <w:rFonts w:ascii="Times New Roman" w:hAnsi="Times New Roman" w:cs="Times New Roman"/>
          <w:lang w:val="en-US"/>
        </w:rPr>
        <w:t>ls, business location, business</w:t>
      </w:r>
      <w:r w:rsidR="00961950" w:rsidRPr="00B20CF2">
        <w:rPr>
          <w:rFonts w:ascii="Times New Roman" w:hAnsi="Times New Roman" w:cs="Times New Roman"/>
          <w:lang w:val="en-US"/>
        </w:rPr>
        <w:t xml:space="preserve"> name, Shareholders</w:t>
      </w:r>
      <w:r w:rsidR="00512EA7">
        <w:rPr>
          <w:rFonts w:ascii="Times New Roman" w:hAnsi="Times New Roman" w:cs="Times New Roman"/>
          <w:lang w:val="en-US"/>
        </w:rPr>
        <w:t>, Directors, Public Officer, etc.; and</w:t>
      </w:r>
      <w:r w:rsidR="00961950" w:rsidRPr="00B20CF2">
        <w:rPr>
          <w:rFonts w:ascii="Times New Roman" w:hAnsi="Times New Roman" w:cs="Times New Roman"/>
          <w:lang w:val="en-US"/>
        </w:rPr>
        <w:t xml:space="preserve"> </w:t>
      </w:r>
    </w:p>
    <w:p w:rsidR="00961950" w:rsidRDefault="00961950" w:rsidP="0096195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It is also crucial that you provide us with your e-mail address for ease of communication</w:t>
      </w:r>
      <w:r w:rsidR="00512EA7">
        <w:rPr>
          <w:rFonts w:ascii="Times New Roman" w:hAnsi="Times New Roman" w:cs="Times New Roman"/>
          <w:lang w:val="en-US"/>
        </w:rPr>
        <w:t>.</w:t>
      </w:r>
    </w:p>
    <w:p w:rsidR="00E552FB" w:rsidRPr="00B20CF2" w:rsidRDefault="00E552FB" w:rsidP="00E552FB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:rsidR="00E552FB" w:rsidRDefault="00F8609B" w:rsidP="00E552FB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BUSINESS TAX RATES</w:t>
      </w:r>
    </w:p>
    <w:tbl>
      <w:tblPr>
        <w:tblStyle w:val="TableGrid"/>
        <w:tblW w:w="5139" w:type="pct"/>
        <w:tblInd w:w="-162" w:type="dxa"/>
        <w:tblLook w:val="04A0"/>
      </w:tblPr>
      <w:tblGrid>
        <w:gridCol w:w="5143"/>
        <w:gridCol w:w="5836"/>
      </w:tblGrid>
      <w:tr w:rsidR="00F8609B" w:rsidRPr="006C1271" w:rsidTr="00F77A34">
        <w:tc>
          <w:tcPr>
            <w:tcW w:w="2342" w:type="pct"/>
          </w:tcPr>
          <w:p w:rsidR="00F8609B" w:rsidRPr="006C1271" w:rsidRDefault="00F8609B" w:rsidP="00F77A34">
            <w:pPr>
              <w:ind w:left="1008"/>
              <w:rPr>
                <w:b/>
                <w:sz w:val="18"/>
                <w:szCs w:val="18"/>
              </w:rPr>
            </w:pPr>
            <w:r w:rsidRPr="006C1271">
              <w:rPr>
                <w:b/>
                <w:sz w:val="18"/>
                <w:szCs w:val="18"/>
              </w:rPr>
              <w:t>TAX TYPE</w:t>
            </w:r>
          </w:p>
        </w:tc>
        <w:tc>
          <w:tcPr>
            <w:tcW w:w="2658" w:type="pct"/>
          </w:tcPr>
          <w:p w:rsidR="00F8609B" w:rsidRPr="006C1271" w:rsidRDefault="00F8609B" w:rsidP="00F77A34">
            <w:pPr>
              <w:ind w:left="1008"/>
              <w:rPr>
                <w:b/>
                <w:sz w:val="18"/>
                <w:szCs w:val="18"/>
              </w:rPr>
            </w:pPr>
            <w:r w:rsidRPr="006C1271">
              <w:rPr>
                <w:b/>
                <w:sz w:val="18"/>
                <w:szCs w:val="18"/>
              </w:rPr>
              <w:t>RATE OF TAX</w:t>
            </w:r>
          </w:p>
        </w:tc>
      </w:tr>
      <w:tr w:rsidR="00F8609B" w:rsidRPr="006C1271" w:rsidTr="00F77A34">
        <w:tc>
          <w:tcPr>
            <w:tcW w:w="2342" w:type="pct"/>
          </w:tcPr>
          <w:p w:rsidR="00F8609B" w:rsidRPr="006C1271" w:rsidRDefault="00F8609B" w:rsidP="00F77A34">
            <w:pPr>
              <w:ind w:left="1008"/>
              <w:rPr>
                <w:b/>
                <w:sz w:val="18"/>
                <w:szCs w:val="18"/>
              </w:rPr>
            </w:pPr>
            <w:r w:rsidRPr="006C1271">
              <w:rPr>
                <w:b/>
                <w:sz w:val="18"/>
                <w:szCs w:val="18"/>
              </w:rPr>
              <w:t xml:space="preserve">Business Tax </w:t>
            </w:r>
          </w:p>
        </w:tc>
        <w:tc>
          <w:tcPr>
            <w:tcW w:w="2658" w:type="pct"/>
          </w:tcPr>
          <w:p w:rsidR="00F8609B" w:rsidRPr="006C1271" w:rsidRDefault="00F8609B" w:rsidP="00F77A34">
            <w:pPr>
              <w:ind w:left="1008"/>
              <w:rPr>
                <w:b/>
                <w:sz w:val="18"/>
                <w:szCs w:val="18"/>
              </w:rPr>
            </w:pPr>
            <w:r w:rsidRPr="006C1271">
              <w:rPr>
                <w:b/>
                <w:sz w:val="18"/>
                <w:szCs w:val="18"/>
              </w:rPr>
              <w:t>FIRST SCHEDULE</w:t>
            </w:r>
          </w:p>
        </w:tc>
      </w:tr>
      <w:tr w:rsidR="00F8609B" w:rsidRPr="006C1271" w:rsidTr="00F77A34">
        <w:tc>
          <w:tcPr>
            <w:tcW w:w="2342" w:type="pct"/>
          </w:tcPr>
          <w:p w:rsidR="00F8609B" w:rsidRPr="006C1271" w:rsidRDefault="00F8609B" w:rsidP="00F77A34">
            <w:pPr>
              <w:pStyle w:val="ListParagraph"/>
              <w:numPr>
                <w:ilvl w:val="0"/>
                <w:numId w:val="19"/>
              </w:num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Individual and Partnership</w:t>
            </w:r>
          </w:p>
        </w:tc>
        <w:tc>
          <w:tcPr>
            <w:tcW w:w="2658" w:type="pct"/>
          </w:tcPr>
          <w:p w:rsidR="00F8609B" w:rsidRPr="006C1271" w:rsidRDefault="00F8609B" w:rsidP="00F77A34">
            <w:p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0% of the first taxable income;</w:t>
            </w:r>
          </w:p>
          <w:p w:rsidR="00F8609B" w:rsidRPr="006C1271" w:rsidRDefault="00F8609B" w:rsidP="00F77A34">
            <w:p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15% between R150,001 and 1,000,000 of taxable income; and</w:t>
            </w:r>
          </w:p>
          <w:p w:rsidR="00F8609B" w:rsidRPr="006C1271" w:rsidRDefault="00F8609B" w:rsidP="00F77A34">
            <w:p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30% on the remainder</w:t>
            </w:r>
          </w:p>
        </w:tc>
      </w:tr>
      <w:tr w:rsidR="00F8609B" w:rsidRPr="006C1271" w:rsidTr="00F77A34">
        <w:tc>
          <w:tcPr>
            <w:tcW w:w="2342" w:type="pct"/>
          </w:tcPr>
          <w:p w:rsidR="00F8609B" w:rsidRPr="006C1271" w:rsidRDefault="00F8609B" w:rsidP="00F77A34">
            <w:pPr>
              <w:pStyle w:val="ListParagraph"/>
              <w:numPr>
                <w:ilvl w:val="0"/>
                <w:numId w:val="19"/>
              </w:num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Company, government body or a trustee</w:t>
            </w:r>
          </w:p>
        </w:tc>
        <w:tc>
          <w:tcPr>
            <w:tcW w:w="2658" w:type="pct"/>
          </w:tcPr>
          <w:p w:rsidR="00F8609B" w:rsidRPr="006C1271" w:rsidRDefault="00F8609B" w:rsidP="00F77A34">
            <w:p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25% on the first 1,000,000 of taxable income; and</w:t>
            </w:r>
          </w:p>
          <w:p w:rsidR="00F8609B" w:rsidRPr="006C1271" w:rsidRDefault="00F8609B" w:rsidP="00F77A34">
            <w:p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30% on the remainder</w:t>
            </w:r>
          </w:p>
        </w:tc>
      </w:tr>
      <w:tr w:rsidR="00F8609B" w:rsidRPr="006C1271" w:rsidTr="00F77A34">
        <w:tc>
          <w:tcPr>
            <w:tcW w:w="2342" w:type="pct"/>
          </w:tcPr>
          <w:p w:rsidR="00F8609B" w:rsidRPr="006C1271" w:rsidRDefault="00F8609B" w:rsidP="00F77A34">
            <w:pPr>
              <w:pStyle w:val="ListParagraph"/>
              <w:numPr>
                <w:ilvl w:val="0"/>
                <w:numId w:val="19"/>
              </w:num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Telecommunications service providers, banks, insurance companies, alcohol and tobacco manufacturers</w:t>
            </w:r>
          </w:p>
        </w:tc>
        <w:tc>
          <w:tcPr>
            <w:tcW w:w="2658" w:type="pct"/>
          </w:tcPr>
          <w:p w:rsidR="00F8609B" w:rsidRPr="006C1271" w:rsidRDefault="00F8609B" w:rsidP="00F77A34">
            <w:p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25% on the first 1,000,000 of taxable income; and</w:t>
            </w:r>
          </w:p>
          <w:p w:rsidR="00F8609B" w:rsidRPr="006C1271" w:rsidRDefault="00F8609B" w:rsidP="00F77A34">
            <w:p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33% on the remainder</w:t>
            </w:r>
          </w:p>
        </w:tc>
      </w:tr>
      <w:tr w:rsidR="00F8609B" w:rsidRPr="006C1271" w:rsidTr="00F77A34">
        <w:tc>
          <w:tcPr>
            <w:tcW w:w="2342" w:type="pct"/>
          </w:tcPr>
          <w:p w:rsidR="00F8609B" w:rsidRPr="006C1271" w:rsidRDefault="00F8609B" w:rsidP="00F77A34">
            <w:pPr>
              <w:pStyle w:val="ListParagraph"/>
              <w:numPr>
                <w:ilvl w:val="0"/>
                <w:numId w:val="19"/>
              </w:num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Non-resident Person operating a ship or aircraft for the carriage of passenger, mail, merchandise, etc., or goods embarked in Seychelles</w:t>
            </w:r>
          </w:p>
        </w:tc>
        <w:tc>
          <w:tcPr>
            <w:tcW w:w="2658" w:type="pct"/>
          </w:tcPr>
          <w:p w:rsidR="00F8609B" w:rsidRPr="006C1271" w:rsidRDefault="00F8609B" w:rsidP="00F77A34">
            <w:p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3% on the gross amount received</w:t>
            </w:r>
          </w:p>
        </w:tc>
      </w:tr>
      <w:tr w:rsidR="00F8609B" w:rsidRPr="006C1271" w:rsidTr="00F77A34">
        <w:tc>
          <w:tcPr>
            <w:tcW w:w="2342" w:type="pct"/>
          </w:tcPr>
          <w:p w:rsidR="00F8609B" w:rsidRPr="006C1271" w:rsidRDefault="00F8609B" w:rsidP="00F77A34">
            <w:pPr>
              <w:pStyle w:val="ListParagraph"/>
              <w:numPr>
                <w:ilvl w:val="0"/>
                <w:numId w:val="19"/>
              </w:num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Non-resident Person income received from sources in Seychelles</w:t>
            </w:r>
          </w:p>
        </w:tc>
        <w:tc>
          <w:tcPr>
            <w:tcW w:w="2658" w:type="pct"/>
          </w:tcPr>
          <w:p w:rsidR="00F8609B" w:rsidRPr="006C1271" w:rsidRDefault="00F8609B" w:rsidP="00F77A34">
            <w:p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 xml:space="preserve">(i)15% on the gross amount of dividend, interest, royalty, natural resource amount or technical services fee; </w:t>
            </w:r>
          </w:p>
          <w:p w:rsidR="00F8609B" w:rsidRPr="006C1271" w:rsidRDefault="00F8609B" w:rsidP="00F77A34">
            <w:p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(ii)The rate applicable under a taxation agreement entered between the Government of Seychelles and a Government of a foreign country</w:t>
            </w:r>
          </w:p>
          <w:p w:rsidR="00F8609B" w:rsidRPr="006C1271" w:rsidRDefault="00F8609B" w:rsidP="00F77A34">
            <w:p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(iii) 5% on insurance premium</w:t>
            </w:r>
          </w:p>
          <w:p w:rsidR="00F8609B" w:rsidRPr="006C1271" w:rsidRDefault="00F8609B" w:rsidP="00F77A34">
            <w:p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(iv) 15% in case of technical fees other than managerial fees payable to a non-resident by a financial institution operating in Seychelles</w:t>
            </w:r>
          </w:p>
          <w:p w:rsidR="00F8609B" w:rsidRPr="006C1271" w:rsidRDefault="00F8609B" w:rsidP="00F77A34">
            <w:p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(v) 33% in case of managerial fees payable to a non-resident by a financial institution operating in Seychelles</w:t>
            </w:r>
          </w:p>
        </w:tc>
      </w:tr>
      <w:tr w:rsidR="00F8609B" w:rsidRPr="006C1271" w:rsidTr="00F77A34">
        <w:tc>
          <w:tcPr>
            <w:tcW w:w="2342" w:type="pct"/>
          </w:tcPr>
          <w:p w:rsidR="00F8609B" w:rsidRPr="006C1271" w:rsidRDefault="00F8609B" w:rsidP="00F77A34">
            <w:pPr>
              <w:pStyle w:val="ListParagraph"/>
              <w:numPr>
                <w:ilvl w:val="0"/>
                <w:numId w:val="19"/>
              </w:num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Offshore Banking</w:t>
            </w:r>
          </w:p>
        </w:tc>
        <w:tc>
          <w:tcPr>
            <w:tcW w:w="2658" w:type="pct"/>
          </w:tcPr>
          <w:p w:rsidR="00F8609B" w:rsidRPr="006C1271" w:rsidRDefault="00F8609B" w:rsidP="00F77A34">
            <w:p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3% of the taxable business income generated by and sources from a non-resident person or an entity incorporated or registered in Seychelles which has personal and economic relations or place of effective management outside Seychelles</w:t>
            </w:r>
            <w:r w:rsidR="002319F7">
              <w:rPr>
                <w:sz w:val="18"/>
                <w:szCs w:val="18"/>
              </w:rPr>
              <w:t xml:space="preserve"> up to 31</w:t>
            </w:r>
            <w:r w:rsidR="002319F7" w:rsidRPr="002319F7">
              <w:rPr>
                <w:sz w:val="18"/>
                <w:szCs w:val="18"/>
                <w:vertAlign w:val="superscript"/>
              </w:rPr>
              <w:t>st</w:t>
            </w:r>
            <w:r w:rsidR="002319F7">
              <w:rPr>
                <w:sz w:val="18"/>
                <w:szCs w:val="18"/>
              </w:rPr>
              <w:t xml:space="preserve"> December 2018</w:t>
            </w:r>
            <w:r w:rsidR="00E9095F">
              <w:rPr>
                <w:sz w:val="18"/>
                <w:szCs w:val="18"/>
              </w:rPr>
              <w:t>.</w:t>
            </w:r>
          </w:p>
        </w:tc>
      </w:tr>
      <w:tr w:rsidR="00A42B7F" w:rsidRPr="006C1271" w:rsidTr="00F77A34">
        <w:tc>
          <w:tcPr>
            <w:tcW w:w="2342" w:type="pct"/>
          </w:tcPr>
          <w:p w:rsidR="00A42B7F" w:rsidRPr="006C1271" w:rsidRDefault="00A42B7F" w:rsidP="00F77A34">
            <w:pPr>
              <w:pStyle w:val="ListParagraph"/>
              <w:numPr>
                <w:ilvl w:val="0"/>
                <w:numId w:val="19"/>
              </w:numPr>
              <w:ind w:left="10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Non-resident Entertainer or Sports Person</w:t>
            </w:r>
          </w:p>
        </w:tc>
        <w:tc>
          <w:tcPr>
            <w:tcW w:w="2658" w:type="pct"/>
          </w:tcPr>
          <w:p w:rsidR="00A42B7F" w:rsidRPr="006C1271" w:rsidRDefault="00A42B7F" w:rsidP="00F77A34">
            <w:pPr>
              <w:ind w:left="10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 on the gross remuneration paid</w:t>
            </w:r>
            <w:r w:rsidR="002319F7">
              <w:rPr>
                <w:sz w:val="18"/>
                <w:szCs w:val="18"/>
              </w:rPr>
              <w:t xml:space="preserve"> in respect of a </w:t>
            </w:r>
            <w:r w:rsidR="002319F7">
              <w:rPr>
                <w:sz w:val="18"/>
                <w:szCs w:val="18"/>
              </w:rPr>
              <w:lastRenderedPageBreak/>
              <w:t>performance in Seychelles of a non-resident entertainer or sports person</w:t>
            </w:r>
          </w:p>
        </w:tc>
      </w:tr>
      <w:tr w:rsidR="00F8609B" w:rsidRPr="006C1271" w:rsidTr="00F77A34">
        <w:tc>
          <w:tcPr>
            <w:tcW w:w="2342" w:type="pct"/>
          </w:tcPr>
          <w:p w:rsidR="00F8609B" w:rsidRPr="006C1271" w:rsidRDefault="00F8609B" w:rsidP="00F77A34">
            <w:pPr>
              <w:ind w:left="1008"/>
              <w:rPr>
                <w:b/>
                <w:sz w:val="18"/>
                <w:szCs w:val="18"/>
              </w:rPr>
            </w:pPr>
            <w:r w:rsidRPr="006C1271">
              <w:rPr>
                <w:b/>
                <w:sz w:val="18"/>
                <w:szCs w:val="18"/>
              </w:rPr>
              <w:lastRenderedPageBreak/>
              <w:t>Presumptive Tax</w:t>
            </w:r>
          </w:p>
        </w:tc>
        <w:tc>
          <w:tcPr>
            <w:tcW w:w="2658" w:type="pct"/>
          </w:tcPr>
          <w:p w:rsidR="00F8609B" w:rsidRPr="006C1271" w:rsidRDefault="00F8609B" w:rsidP="00F77A34">
            <w:pPr>
              <w:ind w:left="1008"/>
              <w:rPr>
                <w:b/>
                <w:sz w:val="18"/>
                <w:szCs w:val="18"/>
              </w:rPr>
            </w:pPr>
            <w:r w:rsidRPr="006C1271">
              <w:rPr>
                <w:b/>
                <w:sz w:val="18"/>
                <w:szCs w:val="18"/>
              </w:rPr>
              <w:t xml:space="preserve">TENTH SCHEDULE </w:t>
            </w:r>
          </w:p>
        </w:tc>
      </w:tr>
      <w:tr w:rsidR="00F8609B" w:rsidRPr="006C1271" w:rsidTr="00F77A34">
        <w:tc>
          <w:tcPr>
            <w:tcW w:w="2342" w:type="pct"/>
          </w:tcPr>
          <w:p w:rsidR="00F8609B" w:rsidRPr="006C1271" w:rsidRDefault="00F8609B" w:rsidP="00F77A34">
            <w:p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A small business with the turnover of less than SCR1,000,000 and not registered for VAT</w:t>
            </w:r>
          </w:p>
        </w:tc>
        <w:tc>
          <w:tcPr>
            <w:tcW w:w="2658" w:type="pct"/>
          </w:tcPr>
          <w:p w:rsidR="00F8609B" w:rsidRPr="006C1271" w:rsidRDefault="00F8609B" w:rsidP="00F77A34">
            <w:p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1.5% on the annual turnover</w:t>
            </w:r>
          </w:p>
        </w:tc>
      </w:tr>
      <w:tr w:rsidR="00F8609B" w:rsidRPr="006C1271" w:rsidTr="00F77A34">
        <w:tc>
          <w:tcPr>
            <w:tcW w:w="2342" w:type="pct"/>
          </w:tcPr>
          <w:p w:rsidR="00F8609B" w:rsidRPr="006C1271" w:rsidRDefault="00F8609B" w:rsidP="00F77A34">
            <w:pPr>
              <w:ind w:left="1008"/>
              <w:rPr>
                <w:b/>
                <w:sz w:val="18"/>
                <w:szCs w:val="18"/>
              </w:rPr>
            </w:pPr>
            <w:r w:rsidRPr="006C1271">
              <w:rPr>
                <w:b/>
                <w:sz w:val="18"/>
                <w:szCs w:val="18"/>
              </w:rPr>
              <w:t>Business Tax</w:t>
            </w:r>
          </w:p>
        </w:tc>
        <w:tc>
          <w:tcPr>
            <w:tcW w:w="2658" w:type="pct"/>
          </w:tcPr>
          <w:p w:rsidR="00F8609B" w:rsidRPr="006C1271" w:rsidRDefault="00F8609B" w:rsidP="00F77A34">
            <w:pPr>
              <w:ind w:left="1008"/>
              <w:rPr>
                <w:b/>
                <w:sz w:val="18"/>
                <w:szCs w:val="18"/>
              </w:rPr>
            </w:pPr>
            <w:r w:rsidRPr="006C1271">
              <w:rPr>
                <w:b/>
                <w:sz w:val="18"/>
                <w:szCs w:val="18"/>
              </w:rPr>
              <w:t>EIGHT SCHEDULE</w:t>
            </w:r>
          </w:p>
        </w:tc>
      </w:tr>
      <w:tr w:rsidR="00F8609B" w:rsidRPr="006C1271" w:rsidTr="00F77A34">
        <w:tc>
          <w:tcPr>
            <w:tcW w:w="2342" w:type="pct"/>
          </w:tcPr>
          <w:p w:rsidR="00F8609B" w:rsidRPr="006C1271" w:rsidRDefault="00F8609B" w:rsidP="00F77A34">
            <w:p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Tourism Sector and Agriculture &amp; Fisheries Sector</w:t>
            </w:r>
            <w:r w:rsidR="00A15301">
              <w:rPr>
                <w:sz w:val="18"/>
                <w:szCs w:val="18"/>
              </w:rPr>
              <w:t xml:space="preserve"> including Duty Free Shop &amp; Exclusive Shop Operator</w:t>
            </w:r>
          </w:p>
        </w:tc>
        <w:tc>
          <w:tcPr>
            <w:tcW w:w="2658" w:type="pct"/>
          </w:tcPr>
          <w:p w:rsidR="00F8609B" w:rsidRPr="006C1271" w:rsidRDefault="00F8609B" w:rsidP="00F77A34">
            <w:p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0% of the first R250,000 of taxable income; and</w:t>
            </w:r>
          </w:p>
          <w:p w:rsidR="00F8609B" w:rsidRPr="006C1271" w:rsidRDefault="00F8609B" w:rsidP="00F77A34">
            <w:p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15% on the remainder</w:t>
            </w:r>
          </w:p>
        </w:tc>
      </w:tr>
      <w:tr w:rsidR="00F8609B" w:rsidRPr="006C1271" w:rsidTr="00F77A34">
        <w:tc>
          <w:tcPr>
            <w:tcW w:w="2342" w:type="pct"/>
          </w:tcPr>
          <w:p w:rsidR="00F8609B" w:rsidRPr="006C1271" w:rsidRDefault="00F8609B" w:rsidP="00F77A34">
            <w:pPr>
              <w:ind w:left="1008"/>
              <w:rPr>
                <w:b/>
                <w:sz w:val="18"/>
                <w:szCs w:val="18"/>
              </w:rPr>
            </w:pPr>
            <w:r w:rsidRPr="006C1271">
              <w:rPr>
                <w:b/>
                <w:sz w:val="18"/>
                <w:szCs w:val="18"/>
              </w:rPr>
              <w:t>Business Tax</w:t>
            </w:r>
          </w:p>
        </w:tc>
        <w:tc>
          <w:tcPr>
            <w:tcW w:w="2658" w:type="pct"/>
          </w:tcPr>
          <w:p w:rsidR="00F8609B" w:rsidRPr="006C1271" w:rsidRDefault="00F8609B" w:rsidP="00F77A34">
            <w:pPr>
              <w:ind w:left="1008"/>
              <w:rPr>
                <w:b/>
                <w:sz w:val="18"/>
                <w:szCs w:val="18"/>
              </w:rPr>
            </w:pPr>
            <w:r w:rsidRPr="006C1271">
              <w:rPr>
                <w:b/>
                <w:sz w:val="18"/>
                <w:szCs w:val="18"/>
              </w:rPr>
              <w:t>SEVENTH SCHEDULE</w:t>
            </w:r>
          </w:p>
        </w:tc>
      </w:tr>
      <w:tr w:rsidR="00F8609B" w:rsidRPr="006C1271" w:rsidTr="00F77A34">
        <w:tc>
          <w:tcPr>
            <w:tcW w:w="2342" w:type="pct"/>
          </w:tcPr>
          <w:p w:rsidR="00F8609B" w:rsidRPr="006C1271" w:rsidRDefault="00F8609B" w:rsidP="00F77A34">
            <w:pPr>
              <w:pStyle w:val="ListParagraph"/>
              <w:numPr>
                <w:ilvl w:val="0"/>
                <w:numId w:val="20"/>
              </w:num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International Corporate Service Providers[CSP]</w:t>
            </w:r>
          </w:p>
        </w:tc>
        <w:tc>
          <w:tcPr>
            <w:tcW w:w="2658" w:type="pct"/>
          </w:tcPr>
          <w:p w:rsidR="00F8609B" w:rsidRPr="006C1271" w:rsidRDefault="00F8609B" w:rsidP="00F77A34">
            <w:p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(i)15% of fees in respect of incorporation or registration;</w:t>
            </w:r>
          </w:p>
          <w:p w:rsidR="00F8609B" w:rsidRPr="006C1271" w:rsidRDefault="00F8609B" w:rsidP="00F77A34">
            <w:p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(ii)7.5% of fees in respect of annual renewal of license; and</w:t>
            </w:r>
          </w:p>
          <w:p w:rsidR="00F8609B" w:rsidRPr="006C1271" w:rsidRDefault="00F8609B" w:rsidP="00F77A34">
            <w:p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(iii)5% of all other fees</w:t>
            </w:r>
          </w:p>
        </w:tc>
      </w:tr>
      <w:tr w:rsidR="00F8609B" w:rsidRPr="006C1271" w:rsidTr="00F77A34">
        <w:tc>
          <w:tcPr>
            <w:tcW w:w="2342" w:type="pct"/>
          </w:tcPr>
          <w:p w:rsidR="00F8609B" w:rsidRPr="006C1271" w:rsidRDefault="00F8609B" w:rsidP="00F77A34">
            <w:pPr>
              <w:pStyle w:val="ListParagraph"/>
              <w:numPr>
                <w:ilvl w:val="0"/>
                <w:numId w:val="20"/>
              </w:num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Companies Special License[CSL]</w:t>
            </w:r>
          </w:p>
        </w:tc>
        <w:tc>
          <w:tcPr>
            <w:tcW w:w="2658" w:type="pct"/>
          </w:tcPr>
          <w:p w:rsidR="00F8609B" w:rsidRPr="006C1271" w:rsidRDefault="00F8609B" w:rsidP="00F77A34">
            <w:p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1.5% on global taxable income</w:t>
            </w:r>
            <w:r w:rsidR="004C3183">
              <w:rPr>
                <w:sz w:val="18"/>
                <w:szCs w:val="18"/>
              </w:rPr>
              <w:t xml:space="preserve">.  </w:t>
            </w:r>
            <w:r w:rsidR="004C3183" w:rsidRPr="004C3183">
              <w:rPr>
                <w:sz w:val="18"/>
                <w:szCs w:val="18"/>
              </w:rPr>
              <w:t>The taxation regime continues to be in force till June 30, 2021 for companies incorporated before October 16, 2017</w:t>
            </w:r>
            <w:r w:rsidR="004C3183">
              <w:rPr>
                <w:sz w:val="18"/>
                <w:szCs w:val="18"/>
              </w:rPr>
              <w:t>.</w:t>
            </w:r>
          </w:p>
        </w:tc>
      </w:tr>
      <w:tr w:rsidR="00F8609B" w:rsidRPr="006C1271" w:rsidTr="00F77A34">
        <w:tc>
          <w:tcPr>
            <w:tcW w:w="2342" w:type="pct"/>
          </w:tcPr>
          <w:p w:rsidR="00F8609B" w:rsidRPr="006C1271" w:rsidRDefault="00F8609B" w:rsidP="00F77A34">
            <w:pPr>
              <w:pStyle w:val="ListParagraph"/>
              <w:numPr>
                <w:ilvl w:val="0"/>
                <w:numId w:val="20"/>
              </w:num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Offshore Dredging, Reclamation and Related Marine Work</w:t>
            </w:r>
          </w:p>
        </w:tc>
        <w:tc>
          <w:tcPr>
            <w:tcW w:w="2658" w:type="pct"/>
          </w:tcPr>
          <w:p w:rsidR="00F8609B" w:rsidRPr="006C1271" w:rsidRDefault="00F8609B" w:rsidP="00F77A34">
            <w:p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3% on total turnover</w:t>
            </w:r>
          </w:p>
        </w:tc>
      </w:tr>
      <w:tr w:rsidR="00F8609B" w:rsidRPr="006C1271" w:rsidTr="00F77A34">
        <w:tc>
          <w:tcPr>
            <w:tcW w:w="2342" w:type="pct"/>
          </w:tcPr>
          <w:p w:rsidR="00F8609B" w:rsidRPr="006C1271" w:rsidRDefault="00F8609B" w:rsidP="00F77A34">
            <w:pPr>
              <w:pStyle w:val="ListParagraph"/>
              <w:numPr>
                <w:ilvl w:val="0"/>
                <w:numId w:val="20"/>
              </w:num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Residential Dwelling</w:t>
            </w:r>
          </w:p>
        </w:tc>
        <w:tc>
          <w:tcPr>
            <w:tcW w:w="2658" w:type="pct"/>
          </w:tcPr>
          <w:p w:rsidR="00F8609B" w:rsidRPr="006C1271" w:rsidRDefault="00F8609B" w:rsidP="00F77A34">
            <w:p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15% of the gross rental income</w:t>
            </w:r>
          </w:p>
        </w:tc>
      </w:tr>
      <w:tr w:rsidR="00F8609B" w:rsidRPr="006C1271" w:rsidTr="00F77A34">
        <w:tc>
          <w:tcPr>
            <w:tcW w:w="2342" w:type="pct"/>
          </w:tcPr>
          <w:p w:rsidR="00F8609B" w:rsidRPr="006C1271" w:rsidRDefault="00F8609B" w:rsidP="00F77A34">
            <w:pPr>
              <w:pStyle w:val="ListParagraph"/>
              <w:numPr>
                <w:ilvl w:val="0"/>
                <w:numId w:val="20"/>
              </w:num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Licensees under the Mutual Fund and Hedge Fund Act, 2008</w:t>
            </w:r>
          </w:p>
        </w:tc>
        <w:tc>
          <w:tcPr>
            <w:tcW w:w="2658" w:type="pct"/>
          </w:tcPr>
          <w:p w:rsidR="00F8609B" w:rsidRPr="006C1271" w:rsidRDefault="00F8609B" w:rsidP="00F77A34">
            <w:p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(i) 10% of fees in respect of new mutual fund licenses; and</w:t>
            </w:r>
          </w:p>
          <w:p w:rsidR="00F8609B" w:rsidRPr="006C1271" w:rsidRDefault="00F8609B" w:rsidP="00F77A34">
            <w:p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(ii)5% of fees in respect of annual renewal of mutual fund licenses and all other fees under that Act</w:t>
            </w:r>
          </w:p>
        </w:tc>
      </w:tr>
      <w:tr w:rsidR="00F8609B" w:rsidRPr="006C1271" w:rsidTr="00F77A34">
        <w:tc>
          <w:tcPr>
            <w:tcW w:w="2342" w:type="pct"/>
          </w:tcPr>
          <w:p w:rsidR="00F8609B" w:rsidRPr="006C1271" w:rsidRDefault="00F8609B" w:rsidP="00F77A34">
            <w:pPr>
              <w:pStyle w:val="ListParagraph"/>
              <w:numPr>
                <w:ilvl w:val="0"/>
                <w:numId w:val="20"/>
              </w:num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Licensees under the Securities Act 2007</w:t>
            </w:r>
          </w:p>
        </w:tc>
        <w:tc>
          <w:tcPr>
            <w:tcW w:w="2658" w:type="pct"/>
          </w:tcPr>
          <w:p w:rsidR="00F8609B" w:rsidRPr="006C1271" w:rsidRDefault="00F8609B" w:rsidP="00F77A34">
            <w:p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1.5 % in respect of the assessable income</w:t>
            </w:r>
          </w:p>
        </w:tc>
      </w:tr>
      <w:tr w:rsidR="00F8609B" w:rsidRPr="006C1271" w:rsidTr="00F77A34">
        <w:tc>
          <w:tcPr>
            <w:tcW w:w="2342" w:type="pct"/>
          </w:tcPr>
          <w:p w:rsidR="00F8609B" w:rsidRPr="006C1271" w:rsidRDefault="00F8609B" w:rsidP="00F77A34">
            <w:pPr>
              <w:pStyle w:val="ListParagraph"/>
              <w:numPr>
                <w:ilvl w:val="0"/>
                <w:numId w:val="20"/>
              </w:num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Company listed under the Seychelles Securities Exchange</w:t>
            </w:r>
          </w:p>
        </w:tc>
        <w:tc>
          <w:tcPr>
            <w:tcW w:w="2658" w:type="pct"/>
          </w:tcPr>
          <w:p w:rsidR="00F8609B" w:rsidRPr="006C1271" w:rsidRDefault="00F8609B" w:rsidP="00F77A34">
            <w:p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25% on the taxable income</w:t>
            </w:r>
          </w:p>
        </w:tc>
      </w:tr>
      <w:tr w:rsidR="00F8609B" w:rsidRPr="006C1271" w:rsidTr="00F77A34">
        <w:tc>
          <w:tcPr>
            <w:tcW w:w="2342" w:type="pct"/>
          </w:tcPr>
          <w:p w:rsidR="00F8609B" w:rsidRPr="006C1271" w:rsidRDefault="00F8609B" w:rsidP="00F77A34">
            <w:pPr>
              <w:pStyle w:val="ListParagraph"/>
              <w:numPr>
                <w:ilvl w:val="0"/>
                <w:numId w:val="20"/>
              </w:num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Private Educational Institution</w:t>
            </w:r>
          </w:p>
        </w:tc>
        <w:tc>
          <w:tcPr>
            <w:tcW w:w="2658" w:type="pct"/>
          </w:tcPr>
          <w:p w:rsidR="00F8609B" w:rsidRPr="006C1271" w:rsidRDefault="00F8609B" w:rsidP="00F77A34">
            <w:p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15% on the taxable income</w:t>
            </w:r>
          </w:p>
        </w:tc>
      </w:tr>
      <w:tr w:rsidR="00F8609B" w:rsidRPr="006C1271" w:rsidTr="00F77A34">
        <w:tc>
          <w:tcPr>
            <w:tcW w:w="2342" w:type="pct"/>
          </w:tcPr>
          <w:p w:rsidR="00F8609B" w:rsidRPr="006C1271" w:rsidRDefault="00F8609B" w:rsidP="00F77A34">
            <w:pPr>
              <w:pStyle w:val="ListParagraph"/>
              <w:numPr>
                <w:ilvl w:val="0"/>
                <w:numId w:val="20"/>
              </w:num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Private Medical Service Provider</w:t>
            </w:r>
          </w:p>
        </w:tc>
        <w:tc>
          <w:tcPr>
            <w:tcW w:w="2658" w:type="pct"/>
          </w:tcPr>
          <w:p w:rsidR="00F8609B" w:rsidRPr="006C1271" w:rsidRDefault="00F8609B" w:rsidP="00F77A34">
            <w:p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15% on the taxable income</w:t>
            </w:r>
          </w:p>
        </w:tc>
      </w:tr>
      <w:tr w:rsidR="00F8609B" w:rsidRPr="006C1271" w:rsidTr="00F77A34">
        <w:tc>
          <w:tcPr>
            <w:tcW w:w="2342" w:type="pct"/>
          </w:tcPr>
          <w:p w:rsidR="00F8609B" w:rsidRPr="006C1271" w:rsidRDefault="00F8609B" w:rsidP="00F77A34">
            <w:pPr>
              <w:ind w:left="1008"/>
              <w:rPr>
                <w:b/>
                <w:sz w:val="18"/>
                <w:szCs w:val="18"/>
              </w:rPr>
            </w:pPr>
            <w:r w:rsidRPr="006C1271">
              <w:rPr>
                <w:b/>
                <w:sz w:val="18"/>
                <w:szCs w:val="18"/>
              </w:rPr>
              <w:t xml:space="preserve">Business Tax </w:t>
            </w:r>
          </w:p>
        </w:tc>
        <w:tc>
          <w:tcPr>
            <w:tcW w:w="2658" w:type="pct"/>
          </w:tcPr>
          <w:p w:rsidR="00F8609B" w:rsidRPr="006C1271" w:rsidRDefault="00F8609B" w:rsidP="00F77A34">
            <w:pPr>
              <w:ind w:left="1008"/>
              <w:rPr>
                <w:b/>
                <w:sz w:val="18"/>
                <w:szCs w:val="18"/>
              </w:rPr>
            </w:pPr>
            <w:r w:rsidRPr="006C1271">
              <w:rPr>
                <w:b/>
                <w:sz w:val="18"/>
                <w:szCs w:val="18"/>
              </w:rPr>
              <w:t>FOURTH SCHEDULE – PAYG – SPECIFIED BUSINESS</w:t>
            </w:r>
          </w:p>
        </w:tc>
      </w:tr>
      <w:tr w:rsidR="00F8609B" w:rsidRPr="006C1271" w:rsidTr="00F77A34">
        <w:tc>
          <w:tcPr>
            <w:tcW w:w="2342" w:type="pct"/>
          </w:tcPr>
          <w:p w:rsidR="00F8609B" w:rsidRPr="006C1271" w:rsidRDefault="00F8609B" w:rsidP="00F77A34">
            <w:pPr>
              <w:pStyle w:val="ListParagraph"/>
              <w:numPr>
                <w:ilvl w:val="0"/>
                <w:numId w:val="21"/>
              </w:num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Building contractor</w:t>
            </w:r>
          </w:p>
          <w:p w:rsidR="00F8609B" w:rsidRPr="006C1271" w:rsidRDefault="00F8609B" w:rsidP="00F77A34">
            <w:pPr>
              <w:pStyle w:val="ListParagraph"/>
              <w:numPr>
                <w:ilvl w:val="0"/>
                <w:numId w:val="21"/>
              </w:num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Maintenance contractor</w:t>
            </w:r>
          </w:p>
          <w:p w:rsidR="00F8609B" w:rsidRPr="006C1271" w:rsidRDefault="00F8609B" w:rsidP="00F77A34">
            <w:pPr>
              <w:pStyle w:val="ListParagraph"/>
              <w:numPr>
                <w:ilvl w:val="0"/>
                <w:numId w:val="21"/>
              </w:num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Mechanic (motor vehicle, marine or refrigeration)</w:t>
            </w:r>
          </w:p>
          <w:p w:rsidR="00F8609B" w:rsidRPr="006C1271" w:rsidRDefault="00F8609B" w:rsidP="00F77A34">
            <w:pPr>
              <w:pStyle w:val="ListParagraph"/>
              <w:numPr>
                <w:ilvl w:val="0"/>
                <w:numId w:val="21"/>
              </w:num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Hirer or operator of plant, equipment including sea vessels, motor vehicle used for the transportation of goods and towing</w:t>
            </w:r>
          </w:p>
          <w:p w:rsidR="00F8609B" w:rsidRPr="006C1271" w:rsidRDefault="00F8609B" w:rsidP="00F77A34">
            <w:pPr>
              <w:pStyle w:val="ListParagraph"/>
              <w:numPr>
                <w:ilvl w:val="0"/>
                <w:numId w:val="21"/>
              </w:num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Hirer of Public omnibus</w:t>
            </w:r>
          </w:p>
        </w:tc>
        <w:tc>
          <w:tcPr>
            <w:tcW w:w="2658" w:type="pct"/>
          </w:tcPr>
          <w:p w:rsidR="00F8609B" w:rsidRPr="006C1271" w:rsidRDefault="00F8609B" w:rsidP="00F77A34">
            <w:pPr>
              <w:ind w:left="1008"/>
              <w:rPr>
                <w:sz w:val="18"/>
                <w:szCs w:val="18"/>
              </w:rPr>
            </w:pPr>
            <w:r w:rsidRPr="006C1271">
              <w:rPr>
                <w:sz w:val="18"/>
                <w:szCs w:val="18"/>
              </w:rPr>
              <w:t>Person making payment to a specified business shall withhold 5% tax from the gross payment</w:t>
            </w:r>
          </w:p>
        </w:tc>
      </w:tr>
    </w:tbl>
    <w:p w:rsidR="00F8609B" w:rsidRPr="00F8609B" w:rsidRDefault="00F8609B" w:rsidP="00F8609B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F5310" w:rsidRDefault="00EC4109" w:rsidP="000F5310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ANNUAL SUBMISSION OF </w:t>
      </w:r>
      <w:r w:rsidRPr="00EE44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BUSINESS TAX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AND/OR</w:t>
      </w:r>
      <w:r w:rsidRPr="00EE44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PRESUMPTIVE TAX RETURNS:</w:t>
      </w:r>
    </w:p>
    <w:p w:rsidR="00313141" w:rsidRDefault="00313141" w:rsidP="000F531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F5310" w:rsidRPr="00B20CF2" w:rsidRDefault="000F5310" w:rsidP="00A631DB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A Business Tax Year is a period of 12 months beginning 1</w:t>
      </w:r>
      <w:r w:rsidRPr="00B20CF2">
        <w:rPr>
          <w:rFonts w:ascii="Times New Roman" w:hAnsi="Times New Roman" w:cs="Times New Roman"/>
          <w:vertAlign w:val="superscript"/>
          <w:lang w:val="en-US"/>
        </w:rPr>
        <w:t>st</w:t>
      </w:r>
      <w:r w:rsidRPr="00B20CF2">
        <w:rPr>
          <w:rFonts w:ascii="Times New Roman" w:hAnsi="Times New Roman" w:cs="Times New Roman"/>
          <w:lang w:val="en-US"/>
        </w:rPr>
        <w:t xml:space="preserve"> January and ending on 31</w:t>
      </w:r>
      <w:r w:rsidRPr="00B20CF2">
        <w:rPr>
          <w:rFonts w:ascii="Times New Roman" w:hAnsi="Times New Roman" w:cs="Times New Roman"/>
          <w:vertAlign w:val="superscript"/>
          <w:lang w:val="en-US"/>
        </w:rPr>
        <w:t>st</w:t>
      </w:r>
      <w:r w:rsidRPr="00B20CF2">
        <w:rPr>
          <w:rFonts w:ascii="Times New Roman" w:hAnsi="Times New Roman" w:cs="Times New Roman"/>
          <w:lang w:val="en-US"/>
        </w:rPr>
        <w:t xml:space="preserve"> December each year</w:t>
      </w:r>
      <w:r w:rsidR="00512EA7">
        <w:rPr>
          <w:rFonts w:ascii="Times New Roman" w:hAnsi="Times New Roman" w:cs="Times New Roman"/>
          <w:lang w:val="en-US"/>
        </w:rPr>
        <w:t>;</w:t>
      </w:r>
    </w:p>
    <w:p w:rsidR="007132F6" w:rsidRPr="00B20CF2" w:rsidRDefault="000F5310" w:rsidP="00A631DB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B</w:t>
      </w:r>
      <w:r w:rsidR="007132F6" w:rsidRPr="00B20CF2">
        <w:rPr>
          <w:rFonts w:ascii="Times New Roman" w:hAnsi="Times New Roman" w:cs="Times New Roman"/>
          <w:lang w:val="en-US"/>
        </w:rPr>
        <w:t xml:space="preserve">y </w:t>
      </w:r>
      <w:r w:rsidR="005D114E" w:rsidRPr="00B20CF2">
        <w:rPr>
          <w:rFonts w:ascii="Times New Roman" w:hAnsi="Times New Roman" w:cs="Times New Roman"/>
          <w:lang w:val="en-US"/>
        </w:rPr>
        <w:t>31</w:t>
      </w:r>
      <w:r w:rsidR="005D114E" w:rsidRPr="00B20CF2">
        <w:rPr>
          <w:rFonts w:ascii="Times New Roman" w:hAnsi="Times New Roman" w:cs="Times New Roman"/>
          <w:vertAlign w:val="superscript"/>
          <w:lang w:val="en-US"/>
        </w:rPr>
        <w:t>st</w:t>
      </w:r>
      <w:r w:rsidR="005D114E" w:rsidRPr="00B20CF2">
        <w:rPr>
          <w:rFonts w:ascii="Times New Roman" w:hAnsi="Times New Roman" w:cs="Times New Roman"/>
          <w:lang w:val="en-US"/>
        </w:rPr>
        <w:t xml:space="preserve"> of March each year</w:t>
      </w:r>
      <w:r w:rsidR="007132F6" w:rsidRPr="00B20CF2">
        <w:rPr>
          <w:rFonts w:ascii="Times New Roman" w:hAnsi="Times New Roman" w:cs="Times New Roman"/>
          <w:lang w:val="en-US"/>
        </w:rPr>
        <w:t>, you will be required to file your annual tax return</w:t>
      </w:r>
      <w:r w:rsidR="00512EA7">
        <w:rPr>
          <w:rFonts w:ascii="Times New Roman" w:hAnsi="Times New Roman" w:cs="Times New Roman"/>
          <w:lang w:val="en-US"/>
        </w:rPr>
        <w:t>; and</w:t>
      </w:r>
    </w:p>
    <w:p w:rsidR="007132F6" w:rsidRPr="00B20CF2" w:rsidRDefault="007132F6" w:rsidP="00A631DB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There are two types of returns to choose from</w:t>
      </w:r>
      <w:r w:rsidR="000F5310" w:rsidRPr="00B20CF2">
        <w:rPr>
          <w:rFonts w:ascii="Times New Roman" w:hAnsi="Times New Roman" w:cs="Times New Roman"/>
          <w:lang w:val="en-US"/>
        </w:rPr>
        <w:t>:</w:t>
      </w:r>
      <w:r w:rsidR="001070D7" w:rsidRPr="00B20CF2">
        <w:rPr>
          <w:rFonts w:ascii="Times New Roman" w:hAnsi="Times New Roman" w:cs="Times New Roman"/>
          <w:lang w:val="en-US"/>
        </w:rPr>
        <w:t xml:space="preserve">  A Presumptive Tax Return or Business Tax Return</w:t>
      </w:r>
      <w:r w:rsidR="00512EA7">
        <w:rPr>
          <w:rFonts w:ascii="Times New Roman" w:hAnsi="Times New Roman" w:cs="Times New Roman"/>
          <w:lang w:val="en-US"/>
        </w:rPr>
        <w:t>.</w:t>
      </w:r>
    </w:p>
    <w:p w:rsidR="001070D7" w:rsidRDefault="001070D7" w:rsidP="001070D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70D7" w:rsidRDefault="001070D7" w:rsidP="001070D7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070D7">
        <w:rPr>
          <w:rFonts w:ascii="Times New Roman" w:hAnsi="Times New Roman" w:cs="Times New Roman"/>
          <w:b/>
          <w:sz w:val="24"/>
          <w:szCs w:val="24"/>
          <w:lang w:val="en-US"/>
        </w:rPr>
        <w:t>PRESUMPTIVE TAX RETURN</w:t>
      </w:r>
    </w:p>
    <w:p w:rsidR="00313141" w:rsidRPr="001070D7" w:rsidRDefault="00313141" w:rsidP="001070D7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070D7" w:rsidRPr="00B20CF2" w:rsidRDefault="001070D7" w:rsidP="001070D7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A one-page Presumptive Tax return if the income earned is less than SR1m</w:t>
      </w:r>
      <w:r w:rsidR="00046E8C" w:rsidRPr="00B20CF2">
        <w:rPr>
          <w:rFonts w:ascii="Times New Roman" w:hAnsi="Times New Roman" w:cs="Times New Roman"/>
          <w:lang w:val="en-US"/>
        </w:rPr>
        <w:t xml:space="preserve"> or even if your business has been in operation for less than a year</w:t>
      </w:r>
      <w:r w:rsidR="00512EA7">
        <w:rPr>
          <w:rFonts w:ascii="Times New Roman" w:hAnsi="Times New Roman" w:cs="Times New Roman"/>
          <w:lang w:val="en-US"/>
        </w:rPr>
        <w:t>.</w:t>
      </w:r>
    </w:p>
    <w:p w:rsidR="00046E8C" w:rsidRDefault="00046E8C" w:rsidP="00046E8C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70D7" w:rsidRDefault="001070D7" w:rsidP="001070D7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070D7">
        <w:rPr>
          <w:rFonts w:ascii="Times New Roman" w:hAnsi="Times New Roman" w:cs="Times New Roman"/>
          <w:b/>
          <w:sz w:val="24"/>
          <w:szCs w:val="24"/>
          <w:lang w:val="en-US"/>
        </w:rPr>
        <w:t>BUSINESS TAX RETURN</w:t>
      </w:r>
    </w:p>
    <w:p w:rsidR="00313141" w:rsidRPr="001070D7" w:rsidRDefault="00313141" w:rsidP="001070D7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32F6" w:rsidRPr="00B20CF2" w:rsidRDefault="007132F6" w:rsidP="00A631DB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 xml:space="preserve">A five-page Business Tax return which is required to be completed </w:t>
      </w:r>
      <w:r w:rsidR="000F5310" w:rsidRPr="00B20CF2">
        <w:rPr>
          <w:rFonts w:ascii="Times New Roman" w:hAnsi="Times New Roman" w:cs="Times New Roman"/>
          <w:lang w:val="en-US"/>
        </w:rPr>
        <w:t>by all</w:t>
      </w:r>
      <w:r w:rsidRPr="00B20CF2">
        <w:rPr>
          <w:rFonts w:ascii="Times New Roman" w:hAnsi="Times New Roman" w:cs="Times New Roman"/>
          <w:lang w:val="en-US"/>
        </w:rPr>
        <w:t xml:space="preserve"> business’ </w:t>
      </w:r>
      <w:r w:rsidR="000F5310" w:rsidRPr="00B20CF2">
        <w:rPr>
          <w:rFonts w:ascii="Times New Roman" w:hAnsi="Times New Roman" w:cs="Times New Roman"/>
          <w:lang w:val="en-US"/>
        </w:rPr>
        <w:t xml:space="preserve">with </w:t>
      </w:r>
      <w:r w:rsidRPr="00B20CF2">
        <w:rPr>
          <w:rFonts w:ascii="Times New Roman" w:hAnsi="Times New Roman" w:cs="Times New Roman"/>
          <w:lang w:val="en-US"/>
        </w:rPr>
        <w:t>i</w:t>
      </w:r>
      <w:r w:rsidR="000F5310" w:rsidRPr="00B20CF2">
        <w:rPr>
          <w:rFonts w:ascii="Times New Roman" w:hAnsi="Times New Roman" w:cs="Times New Roman"/>
          <w:lang w:val="en-US"/>
        </w:rPr>
        <w:t>ncome received</w:t>
      </w:r>
      <w:r w:rsidR="001070D7" w:rsidRPr="00B20CF2">
        <w:rPr>
          <w:rFonts w:ascii="Times New Roman" w:hAnsi="Times New Roman" w:cs="Times New Roman"/>
          <w:lang w:val="en-US"/>
        </w:rPr>
        <w:t xml:space="preserve"> in excess of SR1m</w:t>
      </w:r>
      <w:r w:rsidR="00512EA7">
        <w:rPr>
          <w:rFonts w:ascii="Times New Roman" w:hAnsi="Times New Roman" w:cs="Times New Roman"/>
          <w:lang w:val="en-US"/>
        </w:rPr>
        <w:t>;</w:t>
      </w:r>
    </w:p>
    <w:p w:rsidR="00137FB5" w:rsidRPr="00B20CF2" w:rsidRDefault="00137FB5" w:rsidP="00A631DB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Set of Accounts are not required to be submitted with the Tax return</w:t>
      </w:r>
      <w:r w:rsidR="00512EA7">
        <w:rPr>
          <w:rFonts w:ascii="Times New Roman" w:hAnsi="Times New Roman" w:cs="Times New Roman"/>
          <w:lang w:val="en-US"/>
        </w:rPr>
        <w:t>;</w:t>
      </w:r>
    </w:p>
    <w:p w:rsidR="00137FB5" w:rsidRPr="00B20CF2" w:rsidRDefault="00137FB5" w:rsidP="00A631DB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They must however be submitted on request</w:t>
      </w:r>
      <w:r w:rsidR="00512EA7">
        <w:rPr>
          <w:rFonts w:ascii="Times New Roman" w:hAnsi="Times New Roman" w:cs="Times New Roman"/>
          <w:lang w:val="en-US"/>
        </w:rPr>
        <w:t>;</w:t>
      </w:r>
    </w:p>
    <w:p w:rsidR="00AC2EAC" w:rsidRPr="00B20CF2" w:rsidRDefault="00AC2EAC" w:rsidP="00A631DB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Lodge a nil return if the busi</w:t>
      </w:r>
      <w:r w:rsidR="00512EA7">
        <w:rPr>
          <w:rFonts w:ascii="Times New Roman" w:hAnsi="Times New Roman" w:cs="Times New Roman"/>
          <w:lang w:val="en-US"/>
        </w:rPr>
        <w:t>ness is dormant/not operational;</w:t>
      </w:r>
    </w:p>
    <w:p w:rsidR="00AC2EAC" w:rsidRPr="00B20CF2" w:rsidRDefault="00AC2EAC" w:rsidP="00A631DB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Lodge a Business Tax Return even when your business has been in</w:t>
      </w:r>
      <w:r w:rsidR="00512EA7">
        <w:rPr>
          <w:rFonts w:ascii="Times New Roman" w:hAnsi="Times New Roman" w:cs="Times New Roman"/>
          <w:lang w:val="en-US"/>
        </w:rPr>
        <w:t xml:space="preserve"> operation for less than a year; and</w:t>
      </w:r>
    </w:p>
    <w:p w:rsidR="00AC2EAC" w:rsidRPr="00B20CF2" w:rsidRDefault="00215E7B" w:rsidP="00A631DB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 xml:space="preserve">SRC has a Help Desk Officer to assist </w:t>
      </w:r>
      <w:r w:rsidR="007132F6" w:rsidRPr="00B20CF2">
        <w:rPr>
          <w:rFonts w:ascii="Times New Roman" w:hAnsi="Times New Roman" w:cs="Times New Roman"/>
          <w:lang w:val="en-US"/>
        </w:rPr>
        <w:t>those taxpayers requiring advice w</w:t>
      </w:r>
      <w:r w:rsidR="000F5310" w:rsidRPr="00B20CF2">
        <w:rPr>
          <w:rFonts w:ascii="Times New Roman" w:hAnsi="Times New Roman" w:cs="Times New Roman"/>
          <w:lang w:val="en-US"/>
        </w:rPr>
        <w:t>hen completing the yearly return</w:t>
      </w:r>
      <w:r w:rsidR="00512EA7">
        <w:rPr>
          <w:rFonts w:ascii="Times New Roman" w:hAnsi="Times New Roman" w:cs="Times New Roman"/>
          <w:lang w:val="en-US"/>
        </w:rPr>
        <w:t>.</w:t>
      </w:r>
    </w:p>
    <w:p w:rsidR="00137FB5" w:rsidRDefault="00137FB5" w:rsidP="000F5310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552FB" w:rsidRDefault="00E552FB" w:rsidP="000F5310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552FB" w:rsidRDefault="00E552FB" w:rsidP="000F5310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552FB" w:rsidRDefault="00E552FB" w:rsidP="000F5310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552FB" w:rsidRDefault="00E552FB" w:rsidP="000F5310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7C5A" w:rsidRDefault="00EF7C5A" w:rsidP="000F5310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3141" w:rsidRPr="000F5310" w:rsidRDefault="00EC4109" w:rsidP="00EF7C5A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531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BUSINESS TAX PAYMENTS</w:t>
      </w:r>
    </w:p>
    <w:p w:rsidR="007132F6" w:rsidRPr="00B20CF2" w:rsidRDefault="007132F6" w:rsidP="00A631DB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 xml:space="preserve">The return must be accompanied with payment of the </w:t>
      </w:r>
      <w:r w:rsidR="00820E63" w:rsidRPr="00B20CF2">
        <w:rPr>
          <w:rFonts w:ascii="Times New Roman" w:hAnsi="Times New Roman" w:cs="Times New Roman"/>
          <w:lang w:val="en-US"/>
        </w:rPr>
        <w:t xml:space="preserve">self-assessed tax </w:t>
      </w:r>
      <w:r w:rsidRPr="00B20CF2">
        <w:rPr>
          <w:rFonts w:ascii="Times New Roman" w:hAnsi="Times New Roman" w:cs="Times New Roman"/>
          <w:lang w:val="en-US"/>
        </w:rPr>
        <w:t>liability</w:t>
      </w:r>
      <w:r w:rsidR="00512EA7">
        <w:rPr>
          <w:rFonts w:ascii="Times New Roman" w:hAnsi="Times New Roman" w:cs="Times New Roman"/>
          <w:lang w:val="en-US"/>
        </w:rPr>
        <w:t>;</w:t>
      </w:r>
    </w:p>
    <w:p w:rsidR="00960729" w:rsidRPr="00B20CF2" w:rsidRDefault="00960729" w:rsidP="00A631DB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 xml:space="preserve">A </w:t>
      </w:r>
      <w:r w:rsidR="00820E63" w:rsidRPr="00B20CF2">
        <w:rPr>
          <w:rFonts w:ascii="Times New Roman" w:hAnsi="Times New Roman" w:cs="Times New Roman"/>
          <w:lang w:val="en-US"/>
        </w:rPr>
        <w:t xml:space="preserve">Business Activity Statement (BAS) </w:t>
      </w:r>
      <w:r w:rsidR="000F5310" w:rsidRPr="00B20CF2">
        <w:rPr>
          <w:rFonts w:ascii="Times New Roman" w:hAnsi="Times New Roman" w:cs="Times New Roman"/>
          <w:lang w:val="en-US"/>
        </w:rPr>
        <w:t>is</w:t>
      </w:r>
      <w:r w:rsidR="00820E63" w:rsidRPr="00B20CF2">
        <w:rPr>
          <w:rFonts w:ascii="Times New Roman" w:hAnsi="Times New Roman" w:cs="Times New Roman"/>
          <w:lang w:val="en-US"/>
        </w:rPr>
        <w:t xml:space="preserve"> a summary of the</w:t>
      </w:r>
      <w:r w:rsidRPr="00B20CF2">
        <w:rPr>
          <w:rFonts w:ascii="Times New Roman" w:hAnsi="Times New Roman" w:cs="Times New Roman"/>
          <w:lang w:val="en-US"/>
        </w:rPr>
        <w:t xml:space="preserve"> </w:t>
      </w:r>
      <w:r w:rsidR="00820E63" w:rsidRPr="00B20CF2">
        <w:rPr>
          <w:rFonts w:ascii="Times New Roman" w:hAnsi="Times New Roman" w:cs="Times New Roman"/>
          <w:lang w:val="en-US"/>
        </w:rPr>
        <w:t xml:space="preserve">different taxes that are being paid and </w:t>
      </w:r>
      <w:r w:rsidRPr="00B20CF2">
        <w:rPr>
          <w:rFonts w:ascii="Times New Roman" w:hAnsi="Times New Roman" w:cs="Times New Roman"/>
          <w:lang w:val="en-US"/>
        </w:rPr>
        <w:t>the grand total of all these payments</w:t>
      </w:r>
      <w:r w:rsidR="00512EA7">
        <w:rPr>
          <w:rFonts w:ascii="Times New Roman" w:hAnsi="Times New Roman" w:cs="Times New Roman"/>
          <w:lang w:val="en-US"/>
        </w:rPr>
        <w:t>;</w:t>
      </w:r>
    </w:p>
    <w:p w:rsidR="000F5310" w:rsidRPr="00B20CF2" w:rsidRDefault="000F5310" w:rsidP="00A631DB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All monthly payments are required to be accompanied with a BAS form</w:t>
      </w:r>
      <w:r w:rsidR="00512EA7">
        <w:rPr>
          <w:rFonts w:ascii="Times New Roman" w:hAnsi="Times New Roman" w:cs="Times New Roman"/>
          <w:lang w:val="en-US"/>
        </w:rPr>
        <w:t>;</w:t>
      </w:r>
    </w:p>
    <w:p w:rsidR="00AC2EAC" w:rsidRPr="00B20CF2" w:rsidRDefault="009746AC" w:rsidP="00A631DB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Where a paperclip is displayed, it means there must be an attachment</w:t>
      </w:r>
      <w:r w:rsidR="00512EA7">
        <w:rPr>
          <w:rFonts w:ascii="Times New Roman" w:hAnsi="Times New Roman" w:cs="Times New Roman"/>
          <w:lang w:val="en-US"/>
        </w:rPr>
        <w:t>;</w:t>
      </w:r>
    </w:p>
    <w:p w:rsidR="00820E63" w:rsidRPr="00B20CF2" w:rsidRDefault="00960729" w:rsidP="00A631DB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BAS must be lodged o</w:t>
      </w:r>
      <w:r w:rsidR="00820E63" w:rsidRPr="00B20CF2">
        <w:rPr>
          <w:rFonts w:ascii="Times New Roman" w:hAnsi="Times New Roman" w:cs="Times New Roman"/>
          <w:lang w:val="en-US"/>
        </w:rPr>
        <w:t>n or before the 21</w:t>
      </w:r>
      <w:r w:rsidR="00820E63" w:rsidRPr="00B20CF2">
        <w:rPr>
          <w:rFonts w:ascii="Times New Roman" w:hAnsi="Times New Roman" w:cs="Times New Roman"/>
          <w:vertAlign w:val="superscript"/>
          <w:lang w:val="en-US"/>
        </w:rPr>
        <w:t>st</w:t>
      </w:r>
      <w:r w:rsidR="00820E63" w:rsidRPr="00B20CF2">
        <w:rPr>
          <w:rFonts w:ascii="Times New Roman" w:hAnsi="Times New Roman" w:cs="Times New Roman"/>
          <w:lang w:val="en-US"/>
        </w:rPr>
        <w:t xml:space="preserve"> day of the month after your tax liability is due (e.g. BAS for the month of January should be submitted on or before the 21</w:t>
      </w:r>
      <w:r w:rsidR="00820E63" w:rsidRPr="00B20CF2">
        <w:rPr>
          <w:rFonts w:ascii="Times New Roman" w:hAnsi="Times New Roman" w:cs="Times New Roman"/>
          <w:vertAlign w:val="superscript"/>
          <w:lang w:val="en-US"/>
        </w:rPr>
        <w:t>st</w:t>
      </w:r>
      <w:r w:rsidR="00512EA7">
        <w:rPr>
          <w:rFonts w:ascii="Times New Roman" w:hAnsi="Times New Roman" w:cs="Times New Roman"/>
          <w:lang w:val="en-US"/>
        </w:rPr>
        <w:t xml:space="preserve"> February);</w:t>
      </w:r>
    </w:p>
    <w:p w:rsidR="00313141" w:rsidRDefault="00137FB5" w:rsidP="00A631DB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All cash/cheques payments are to be made at the 3</w:t>
      </w:r>
      <w:r w:rsidRPr="00B20CF2">
        <w:rPr>
          <w:rFonts w:ascii="Times New Roman" w:hAnsi="Times New Roman" w:cs="Times New Roman"/>
          <w:vertAlign w:val="superscript"/>
          <w:lang w:val="en-US"/>
        </w:rPr>
        <w:t>rd</w:t>
      </w:r>
      <w:r w:rsidRPr="00B20CF2">
        <w:rPr>
          <w:rFonts w:ascii="Times New Roman" w:hAnsi="Times New Roman" w:cs="Times New Roman"/>
          <w:lang w:val="en-US"/>
        </w:rPr>
        <w:t xml:space="preserve"> Floor, Maison Collet, Victoria, SRC sub offices </w:t>
      </w:r>
      <w:r w:rsidR="001070D7" w:rsidRPr="00B20CF2">
        <w:rPr>
          <w:rFonts w:ascii="Times New Roman" w:hAnsi="Times New Roman" w:cs="Times New Roman"/>
          <w:lang w:val="en-US"/>
        </w:rPr>
        <w:t xml:space="preserve">at Seychelles Pension Fund Complex </w:t>
      </w:r>
      <w:r w:rsidRPr="00B20CF2">
        <w:rPr>
          <w:rFonts w:ascii="Times New Roman" w:hAnsi="Times New Roman" w:cs="Times New Roman"/>
          <w:lang w:val="en-US"/>
        </w:rPr>
        <w:t xml:space="preserve">on Praslin and </w:t>
      </w:r>
      <w:r w:rsidR="0085023D">
        <w:rPr>
          <w:rFonts w:ascii="Times New Roman" w:hAnsi="Times New Roman" w:cs="Times New Roman"/>
          <w:lang w:val="en-US"/>
        </w:rPr>
        <w:t xml:space="preserve">DA’s Office, </w:t>
      </w:r>
      <w:r w:rsidRPr="00B20CF2">
        <w:rPr>
          <w:rFonts w:ascii="Times New Roman" w:hAnsi="Times New Roman" w:cs="Times New Roman"/>
          <w:lang w:val="en-US"/>
        </w:rPr>
        <w:t xml:space="preserve">La </w:t>
      </w:r>
      <w:proofErr w:type="spellStart"/>
      <w:r w:rsidRPr="00B20CF2">
        <w:rPr>
          <w:rFonts w:ascii="Times New Roman" w:hAnsi="Times New Roman" w:cs="Times New Roman"/>
          <w:lang w:val="en-US"/>
        </w:rPr>
        <w:t>Digue</w:t>
      </w:r>
      <w:proofErr w:type="spellEnd"/>
      <w:r w:rsidRPr="00B20CF2">
        <w:rPr>
          <w:rFonts w:ascii="Times New Roman" w:hAnsi="Times New Roman" w:cs="Times New Roman"/>
          <w:lang w:val="en-US"/>
        </w:rPr>
        <w:t xml:space="preserve"> and also at SLA (Green House) Providence</w:t>
      </w:r>
      <w:r w:rsidR="00512EA7">
        <w:rPr>
          <w:rFonts w:ascii="Times New Roman" w:hAnsi="Times New Roman" w:cs="Times New Roman"/>
          <w:lang w:val="en-US"/>
        </w:rPr>
        <w:t xml:space="preserve">; </w:t>
      </w:r>
    </w:p>
    <w:p w:rsidR="00137FB5" w:rsidRPr="00B20CF2" w:rsidRDefault="00313141" w:rsidP="00A631DB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Payment can be made by Electronic Point of Sale [EPOS]; </w:t>
      </w:r>
      <w:r w:rsidR="00512EA7">
        <w:rPr>
          <w:rFonts w:ascii="Times New Roman" w:hAnsi="Times New Roman" w:cs="Times New Roman"/>
          <w:lang w:val="en-US"/>
        </w:rPr>
        <w:t>and</w:t>
      </w:r>
    </w:p>
    <w:p w:rsidR="00137FB5" w:rsidRPr="00B20CF2" w:rsidRDefault="00137FB5" w:rsidP="00A631DB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Payment can also be made through bank transfer</w:t>
      </w:r>
      <w:r w:rsidR="00512EA7">
        <w:rPr>
          <w:rFonts w:ascii="Times New Roman" w:hAnsi="Times New Roman" w:cs="Times New Roman"/>
          <w:lang w:val="en-US"/>
        </w:rPr>
        <w:t>.</w:t>
      </w:r>
    </w:p>
    <w:p w:rsidR="00137FB5" w:rsidRDefault="00137FB5" w:rsidP="00137FB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37FB5" w:rsidRDefault="00EC4109" w:rsidP="00137FB5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37FB5">
        <w:rPr>
          <w:rFonts w:ascii="Times New Roman" w:hAnsi="Times New Roman" w:cs="Times New Roman"/>
          <w:b/>
          <w:sz w:val="24"/>
          <w:szCs w:val="24"/>
          <w:lang w:val="en-US"/>
        </w:rPr>
        <w:t>AVAILABLE SRC E-SERVICES</w:t>
      </w:r>
    </w:p>
    <w:p w:rsidR="00313141" w:rsidRPr="00137FB5" w:rsidRDefault="00313141" w:rsidP="00137FB5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37FB5" w:rsidRDefault="00137FB5" w:rsidP="00A631DB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Payment can be made via the SRC e-payment platform if you hold an account with Barclays Bank</w:t>
      </w:r>
      <w:r w:rsidR="00046B9D">
        <w:rPr>
          <w:rFonts w:ascii="Times New Roman" w:hAnsi="Times New Roman" w:cs="Times New Roman"/>
          <w:lang w:val="en-US"/>
        </w:rPr>
        <w:t>;</w:t>
      </w:r>
    </w:p>
    <w:p w:rsidR="00046B9D" w:rsidRPr="00B20CF2" w:rsidRDefault="00046B9D" w:rsidP="00A631DB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Payment can be made via the Seychelles Electronic Fund Transfer [SEFT] through your commercial bank;</w:t>
      </w:r>
    </w:p>
    <w:p w:rsidR="00D71A49" w:rsidRPr="00B20CF2" w:rsidRDefault="00D71A49" w:rsidP="00A631DB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Filing of Business Activity Statement</w:t>
      </w:r>
      <w:r w:rsidR="00137FB5" w:rsidRPr="00B20CF2">
        <w:rPr>
          <w:rFonts w:ascii="Times New Roman" w:hAnsi="Times New Roman" w:cs="Times New Roman"/>
          <w:lang w:val="en-US"/>
        </w:rPr>
        <w:t xml:space="preserve">, Business Tax Return, Presumptive Tax Return, VAT return and </w:t>
      </w:r>
      <w:r w:rsidRPr="00B20CF2">
        <w:rPr>
          <w:rFonts w:ascii="Times New Roman" w:hAnsi="Times New Roman" w:cs="Times New Roman"/>
          <w:lang w:val="en-US"/>
        </w:rPr>
        <w:t xml:space="preserve">monthly </w:t>
      </w:r>
      <w:r w:rsidR="00137FB5" w:rsidRPr="00B20CF2">
        <w:rPr>
          <w:rFonts w:ascii="Times New Roman" w:hAnsi="Times New Roman" w:cs="Times New Roman"/>
          <w:lang w:val="en-US"/>
        </w:rPr>
        <w:t>payroll</w:t>
      </w:r>
      <w:r w:rsidR="00512EA7">
        <w:rPr>
          <w:rFonts w:ascii="Times New Roman" w:hAnsi="Times New Roman" w:cs="Times New Roman"/>
          <w:lang w:val="en-US"/>
        </w:rPr>
        <w:t>; and</w:t>
      </w:r>
    </w:p>
    <w:p w:rsidR="00AC2EAC" w:rsidRPr="00B20CF2" w:rsidRDefault="00137FB5" w:rsidP="00A631DB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 xml:space="preserve"> </w:t>
      </w:r>
      <w:r w:rsidR="00D71A49" w:rsidRPr="00B20CF2">
        <w:rPr>
          <w:rFonts w:ascii="Times New Roman" w:hAnsi="Times New Roman" w:cs="Times New Roman"/>
          <w:lang w:val="en-US"/>
        </w:rPr>
        <w:t>All that is required is a registration with SRC to obtain an e-ID, and password</w:t>
      </w:r>
      <w:r w:rsidR="00512EA7">
        <w:rPr>
          <w:rFonts w:ascii="Times New Roman" w:hAnsi="Times New Roman" w:cs="Times New Roman"/>
          <w:lang w:val="en-US"/>
        </w:rPr>
        <w:t>.</w:t>
      </w:r>
    </w:p>
    <w:p w:rsidR="00D71A49" w:rsidRPr="00D71A49" w:rsidRDefault="00D71A49" w:rsidP="00D71A49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C2EAC" w:rsidRPr="00137FB5" w:rsidRDefault="00EC4109" w:rsidP="00137FB5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PENALTIES</w:t>
      </w:r>
      <w:r w:rsidR="005F6F57">
        <w:rPr>
          <w:rFonts w:ascii="Times New Roman" w:hAnsi="Times New Roman" w:cs="Times New Roman"/>
          <w:b/>
          <w:sz w:val="24"/>
          <w:szCs w:val="24"/>
          <w:lang w:val="en-US"/>
        </w:rPr>
        <w:t>=</w:t>
      </w:r>
    </w:p>
    <w:p w:rsidR="00512EA7" w:rsidRDefault="00AC2EAC" w:rsidP="00A631DB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There is 10% flat penalty for late payment of taxes after the due date of 21</w:t>
      </w:r>
      <w:r w:rsidRPr="00B20CF2">
        <w:rPr>
          <w:rFonts w:ascii="Times New Roman" w:hAnsi="Times New Roman" w:cs="Times New Roman"/>
          <w:vertAlign w:val="superscript"/>
          <w:lang w:val="en-US"/>
        </w:rPr>
        <w:t>st</w:t>
      </w:r>
      <w:r w:rsidRPr="00B20CF2">
        <w:rPr>
          <w:rFonts w:ascii="Times New Roman" w:hAnsi="Times New Roman" w:cs="Times New Roman"/>
          <w:lang w:val="en-US"/>
        </w:rPr>
        <w:t xml:space="preserve"> day of the month</w:t>
      </w:r>
      <w:r w:rsidR="00512EA7">
        <w:rPr>
          <w:rFonts w:ascii="Times New Roman" w:hAnsi="Times New Roman" w:cs="Times New Roman"/>
          <w:lang w:val="en-US"/>
        </w:rPr>
        <w:t>;</w:t>
      </w:r>
    </w:p>
    <w:p w:rsidR="00AC2EAC" w:rsidRPr="00B20CF2" w:rsidRDefault="00512EA7" w:rsidP="00A631DB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 xml:space="preserve"> </w:t>
      </w:r>
      <w:r w:rsidR="00AC2EAC" w:rsidRPr="00B20CF2">
        <w:rPr>
          <w:rFonts w:ascii="Times New Roman" w:hAnsi="Times New Roman" w:cs="Times New Roman"/>
          <w:lang w:val="en-US"/>
        </w:rPr>
        <w:t>Interest is applied for late payment of taxes based on Centr</w:t>
      </w:r>
      <w:r w:rsidR="00D71A49" w:rsidRPr="00B20CF2">
        <w:rPr>
          <w:rFonts w:ascii="Times New Roman" w:hAnsi="Times New Roman" w:cs="Times New Roman"/>
          <w:lang w:val="en-US"/>
        </w:rPr>
        <w:t xml:space="preserve">al Bank of Seychelles quarterly lending </w:t>
      </w:r>
      <w:r w:rsidR="00AC2EAC" w:rsidRPr="00B20CF2">
        <w:rPr>
          <w:rFonts w:ascii="Times New Roman" w:hAnsi="Times New Roman" w:cs="Times New Roman"/>
          <w:lang w:val="en-US"/>
        </w:rPr>
        <w:t>rate plus 3%</w:t>
      </w:r>
      <w:r>
        <w:rPr>
          <w:rFonts w:ascii="Times New Roman" w:hAnsi="Times New Roman" w:cs="Times New Roman"/>
          <w:lang w:val="en-US"/>
        </w:rPr>
        <w:t>; and</w:t>
      </w:r>
    </w:p>
    <w:p w:rsidR="00AC2EAC" w:rsidRPr="00B20CF2" w:rsidRDefault="00AC2EAC" w:rsidP="00A631DB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 xml:space="preserve">Late lodgment penalty applies for late filing of returns i.e., </w:t>
      </w:r>
      <w:r w:rsidR="00F64D33">
        <w:rPr>
          <w:rFonts w:ascii="Times New Roman" w:hAnsi="Times New Roman" w:cs="Times New Roman"/>
          <w:lang w:val="en-US"/>
        </w:rPr>
        <w:t xml:space="preserve">Business Activity Statement [BAS], </w:t>
      </w:r>
      <w:r w:rsidRPr="00B20CF2">
        <w:rPr>
          <w:rFonts w:ascii="Times New Roman" w:hAnsi="Times New Roman" w:cs="Times New Roman"/>
          <w:lang w:val="en-US"/>
        </w:rPr>
        <w:t>VAT return, Business Tax Re</w:t>
      </w:r>
      <w:r w:rsidR="00D71A49" w:rsidRPr="00B20CF2">
        <w:rPr>
          <w:rFonts w:ascii="Times New Roman" w:hAnsi="Times New Roman" w:cs="Times New Roman"/>
          <w:lang w:val="en-US"/>
        </w:rPr>
        <w:t>turn and Presumptive Tax Return as follows:</w:t>
      </w:r>
    </w:p>
    <w:p w:rsidR="00D71A49" w:rsidRDefault="00D71A49" w:rsidP="00D71A4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720" w:type="dxa"/>
        <w:tblInd w:w="18" w:type="dxa"/>
        <w:tblLook w:val="04A0"/>
      </w:tblPr>
      <w:tblGrid>
        <w:gridCol w:w="1710"/>
        <w:gridCol w:w="3680"/>
        <w:gridCol w:w="1917"/>
        <w:gridCol w:w="2413"/>
      </w:tblGrid>
      <w:tr w:rsidR="00D2279E" w:rsidRPr="00136228" w:rsidTr="00136228">
        <w:tc>
          <w:tcPr>
            <w:tcW w:w="1710" w:type="dxa"/>
          </w:tcPr>
          <w:p w:rsidR="00D2279E" w:rsidRPr="00136228" w:rsidRDefault="00D2279E" w:rsidP="00D71A4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:rsidR="00D2279E" w:rsidRPr="00136228" w:rsidRDefault="00D2279E" w:rsidP="00D71A4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62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Annual Turnover</w:t>
            </w:r>
          </w:p>
        </w:tc>
        <w:tc>
          <w:tcPr>
            <w:tcW w:w="1917" w:type="dxa"/>
          </w:tcPr>
          <w:p w:rsidR="00D2279E" w:rsidRPr="00136228" w:rsidRDefault="00D2279E" w:rsidP="00D71A4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62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Flat Rate</w:t>
            </w:r>
          </w:p>
        </w:tc>
        <w:tc>
          <w:tcPr>
            <w:tcW w:w="2413" w:type="dxa"/>
          </w:tcPr>
          <w:p w:rsidR="00D2279E" w:rsidRPr="00136228" w:rsidRDefault="00D2279E" w:rsidP="00D2279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62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Weekly rate</w:t>
            </w:r>
          </w:p>
        </w:tc>
      </w:tr>
      <w:tr w:rsidR="00D2279E" w:rsidRPr="00136228" w:rsidTr="00136228">
        <w:tc>
          <w:tcPr>
            <w:tcW w:w="1710" w:type="dxa"/>
          </w:tcPr>
          <w:p w:rsidR="00D2279E" w:rsidRPr="00F77A34" w:rsidRDefault="00D2279E" w:rsidP="00D71A4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Small Business</w:t>
            </w:r>
          </w:p>
        </w:tc>
        <w:tc>
          <w:tcPr>
            <w:tcW w:w="3680" w:type="dxa"/>
          </w:tcPr>
          <w:p w:rsidR="00D2279E" w:rsidRPr="00F77A34" w:rsidRDefault="00D2279E" w:rsidP="00D71A4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Less than SR1,000,000</w:t>
            </w:r>
          </w:p>
        </w:tc>
        <w:tc>
          <w:tcPr>
            <w:tcW w:w="1917" w:type="dxa"/>
          </w:tcPr>
          <w:p w:rsidR="00D2279E" w:rsidRPr="00F77A34" w:rsidRDefault="00D2279E" w:rsidP="00D71A4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SR500 +</w:t>
            </w:r>
          </w:p>
        </w:tc>
        <w:tc>
          <w:tcPr>
            <w:tcW w:w="2413" w:type="dxa"/>
          </w:tcPr>
          <w:p w:rsidR="00D2279E" w:rsidRPr="00F77A34" w:rsidRDefault="00D2279E" w:rsidP="00D2279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SR50 for each week or part of a week that the return is not furnished</w:t>
            </w:r>
          </w:p>
        </w:tc>
      </w:tr>
      <w:tr w:rsidR="00D2279E" w:rsidRPr="00136228" w:rsidTr="00136228">
        <w:tc>
          <w:tcPr>
            <w:tcW w:w="1710" w:type="dxa"/>
          </w:tcPr>
          <w:p w:rsidR="00D2279E" w:rsidRPr="00F77A34" w:rsidRDefault="00D2279E" w:rsidP="00D71A4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Medium Business</w:t>
            </w:r>
          </w:p>
        </w:tc>
        <w:tc>
          <w:tcPr>
            <w:tcW w:w="3680" w:type="dxa"/>
          </w:tcPr>
          <w:p w:rsidR="00D2279E" w:rsidRPr="00F77A34" w:rsidRDefault="00D2279E" w:rsidP="0013622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Between SR1,000,000 and R50,000,000</w:t>
            </w:r>
          </w:p>
        </w:tc>
        <w:tc>
          <w:tcPr>
            <w:tcW w:w="1917" w:type="dxa"/>
          </w:tcPr>
          <w:p w:rsidR="00D2279E" w:rsidRPr="00F77A34" w:rsidRDefault="00D2279E" w:rsidP="00B75A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SR1,000 +</w:t>
            </w:r>
          </w:p>
        </w:tc>
        <w:tc>
          <w:tcPr>
            <w:tcW w:w="2413" w:type="dxa"/>
          </w:tcPr>
          <w:p w:rsidR="00D2279E" w:rsidRPr="00F77A34" w:rsidRDefault="00D2279E" w:rsidP="00B75A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SR100 for each week or part of a week that the return is not furnished</w:t>
            </w:r>
          </w:p>
        </w:tc>
      </w:tr>
      <w:tr w:rsidR="00D2279E" w:rsidRPr="00136228" w:rsidTr="00136228">
        <w:tc>
          <w:tcPr>
            <w:tcW w:w="1710" w:type="dxa"/>
          </w:tcPr>
          <w:p w:rsidR="00D2279E" w:rsidRPr="00F77A34" w:rsidRDefault="00D2279E" w:rsidP="00D71A4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Large Business</w:t>
            </w:r>
          </w:p>
        </w:tc>
        <w:tc>
          <w:tcPr>
            <w:tcW w:w="3680" w:type="dxa"/>
          </w:tcPr>
          <w:p w:rsidR="00D2279E" w:rsidRPr="00F77A34" w:rsidRDefault="00D2279E" w:rsidP="00D71A4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More than SR50,000,000</w:t>
            </w:r>
          </w:p>
        </w:tc>
        <w:tc>
          <w:tcPr>
            <w:tcW w:w="1917" w:type="dxa"/>
          </w:tcPr>
          <w:p w:rsidR="00D2279E" w:rsidRPr="00F77A34" w:rsidRDefault="00D2279E" w:rsidP="00B75A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SR5,000 +</w:t>
            </w:r>
          </w:p>
        </w:tc>
        <w:tc>
          <w:tcPr>
            <w:tcW w:w="2413" w:type="dxa"/>
          </w:tcPr>
          <w:p w:rsidR="00D2279E" w:rsidRPr="00F77A34" w:rsidRDefault="00D2279E" w:rsidP="00B75A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SR500 for each week or part of a week that the return is not furnished</w:t>
            </w:r>
          </w:p>
        </w:tc>
      </w:tr>
      <w:tr w:rsidR="00D2279E" w:rsidRPr="00136228" w:rsidTr="00136228">
        <w:tc>
          <w:tcPr>
            <w:tcW w:w="1710" w:type="dxa"/>
          </w:tcPr>
          <w:p w:rsidR="00D2279E" w:rsidRPr="00F77A34" w:rsidRDefault="00D2279E" w:rsidP="00D71A4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Any other case</w:t>
            </w:r>
          </w:p>
        </w:tc>
        <w:tc>
          <w:tcPr>
            <w:tcW w:w="3680" w:type="dxa"/>
          </w:tcPr>
          <w:p w:rsidR="00D2279E" w:rsidRPr="00F77A34" w:rsidRDefault="00D2279E" w:rsidP="00D71A4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7" w:type="dxa"/>
          </w:tcPr>
          <w:p w:rsidR="00D2279E" w:rsidRPr="00F77A34" w:rsidRDefault="00D2279E" w:rsidP="00B75A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SR500 +</w:t>
            </w:r>
          </w:p>
        </w:tc>
        <w:tc>
          <w:tcPr>
            <w:tcW w:w="2413" w:type="dxa"/>
          </w:tcPr>
          <w:p w:rsidR="00D2279E" w:rsidRPr="00F77A34" w:rsidRDefault="00D2279E" w:rsidP="00B75A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SR50 for each week or part of a week that the return is not furnished</w:t>
            </w:r>
          </w:p>
        </w:tc>
      </w:tr>
    </w:tbl>
    <w:p w:rsidR="003D4A0B" w:rsidRDefault="003D4A0B" w:rsidP="00AC2EAC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2EAC" w:rsidRPr="00E70EA9" w:rsidRDefault="00EC4109" w:rsidP="00AC2EAC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OTHER INFORMATION</w:t>
      </w:r>
    </w:p>
    <w:p w:rsidR="005E6913" w:rsidRDefault="00EE4420" w:rsidP="005E6913">
      <w:pPr>
        <w:spacing w:after="0"/>
        <w:ind w:left="360" w:firstLine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69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</w:t>
      </w:r>
      <w:r w:rsidR="00B75A3B">
        <w:rPr>
          <w:rFonts w:ascii="Times New Roman" w:hAnsi="Times New Roman" w:cs="Times New Roman"/>
          <w:b/>
          <w:sz w:val="24"/>
          <w:szCs w:val="24"/>
          <w:lang w:val="en-US"/>
        </w:rPr>
        <w:t>ALUE ADDED TAX (V</w:t>
      </w:r>
      <w:r w:rsidRPr="005E6913">
        <w:rPr>
          <w:rFonts w:ascii="Times New Roman" w:hAnsi="Times New Roman" w:cs="Times New Roman"/>
          <w:b/>
          <w:sz w:val="24"/>
          <w:szCs w:val="24"/>
          <w:lang w:val="en-US"/>
        </w:rPr>
        <w:t>AT</w:t>
      </w:r>
      <w:r w:rsidR="00B75A3B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5E69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</w:t>
      </w:r>
      <w:r w:rsidR="005E6913">
        <w:rPr>
          <w:rFonts w:ascii="Times New Roman" w:hAnsi="Times New Roman" w:cs="Times New Roman"/>
          <w:b/>
          <w:sz w:val="24"/>
          <w:szCs w:val="24"/>
          <w:lang w:val="en-US"/>
        </w:rPr>
        <w:t>gistration</w:t>
      </w:r>
    </w:p>
    <w:p w:rsidR="005E6913" w:rsidRPr="00B20CF2" w:rsidRDefault="005E6913" w:rsidP="005E6913">
      <w:pPr>
        <w:spacing w:after="0"/>
        <w:ind w:left="360" w:firstLine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E6913" w:rsidRPr="00B20CF2" w:rsidRDefault="00136228" w:rsidP="00A631DB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i/>
          <w:lang w:val="en-US"/>
        </w:rPr>
        <w:t>Compulsory or Mandatory Registration</w:t>
      </w:r>
      <w:r w:rsidRPr="00B20CF2">
        <w:rPr>
          <w:rFonts w:ascii="Times New Roman" w:hAnsi="Times New Roman" w:cs="Times New Roman"/>
          <w:lang w:val="en-US"/>
        </w:rPr>
        <w:t xml:space="preserve"> = All b</w:t>
      </w:r>
      <w:r w:rsidR="005E6913" w:rsidRPr="00B20CF2">
        <w:rPr>
          <w:rFonts w:ascii="Times New Roman" w:hAnsi="Times New Roman" w:cs="Times New Roman"/>
          <w:lang w:val="en-US"/>
        </w:rPr>
        <w:t xml:space="preserve">usinesses </w:t>
      </w:r>
      <w:r w:rsidRPr="00B20CF2">
        <w:rPr>
          <w:rFonts w:ascii="Times New Roman" w:hAnsi="Times New Roman" w:cs="Times New Roman"/>
          <w:lang w:val="en-US"/>
        </w:rPr>
        <w:t>where</w:t>
      </w:r>
      <w:r w:rsidR="005E6913" w:rsidRPr="00B20CF2">
        <w:rPr>
          <w:rFonts w:ascii="Times New Roman" w:hAnsi="Times New Roman" w:cs="Times New Roman"/>
          <w:lang w:val="en-US"/>
        </w:rPr>
        <w:t xml:space="preserve"> taxable supplies is in excess of </w:t>
      </w:r>
      <w:r w:rsidRPr="00B20CF2">
        <w:rPr>
          <w:rFonts w:ascii="Times New Roman" w:hAnsi="Times New Roman" w:cs="Times New Roman"/>
          <w:lang w:val="en-US"/>
        </w:rPr>
        <w:t>the VAT registration threshold of SR2m</w:t>
      </w:r>
      <w:r w:rsidR="00512EA7">
        <w:rPr>
          <w:rFonts w:ascii="Times New Roman" w:hAnsi="Times New Roman" w:cs="Times New Roman"/>
          <w:lang w:val="en-US"/>
        </w:rPr>
        <w:t>;</w:t>
      </w:r>
    </w:p>
    <w:p w:rsidR="00F57D98" w:rsidRPr="00A631DB" w:rsidRDefault="00B75A3B" w:rsidP="00A631DB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31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VAT </w:t>
      </w:r>
      <w:r w:rsidR="00F57D98" w:rsidRPr="00A631DB">
        <w:rPr>
          <w:rFonts w:ascii="Times New Roman" w:hAnsi="Times New Roman" w:cs="Times New Roman"/>
          <w:sz w:val="24"/>
          <w:szCs w:val="24"/>
          <w:lang w:val="en-US"/>
        </w:rPr>
        <w:t xml:space="preserve">Returns are submitted on a </w:t>
      </w:r>
      <w:r w:rsidR="00F57D98" w:rsidRPr="00A631DB">
        <w:rPr>
          <w:rFonts w:ascii="Times New Roman" w:hAnsi="Times New Roman" w:cs="Times New Roman"/>
          <w:b/>
          <w:sz w:val="24"/>
          <w:szCs w:val="24"/>
          <w:lang w:val="en-US"/>
        </w:rPr>
        <w:t>monthly</w:t>
      </w:r>
      <w:r w:rsidR="00F57D98" w:rsidRPr="00A631DB">
        <w:rPr>
          <w:rFonts w:ascii="Times New Roman" w:hAnsi="Times New Roman" w:cs="Times New Roman"/>
          <w:sz w:val="24"/>
          <w:szCs w:val="24"/>
          <w:lang w:val="en-US"/>
        </w:rPr>
        <w:t xml:space="preserve"> basis, on or before the 21</w:t>
      </w:r>
      <w:r w:rsidR="00F57D98" w:rsidRPr="00A631D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="00F57D98" w:rsidRPr="00A631DB">
        <w:rPr>
          <w:rFonts w:ascii="Times New Roman" w:hAnsi="Times New Roman" w:cs="Times New Roman"/>
          <w:sz w:val="24"/>
          <w:szCs w:val="24"/>
          <w:lang w:val="en-US"/>
        </w:rPr>
        <w:t xml:space="preserve"> day of the month after the tax liability is due</w:t>
      </w:r>
      <w:r w:rsidR="00512EA7">
        <w:rPr>
          <w:rFonts w:ascii="Times New Roman" w:hAnsi="Times New Roman" w:cs="Times New Roman"/>
          <w:sz w:val="24"/>
          <w:szCs w:val="24"/>
          <w:lang w:val="en-US"/>
        </w:rPr>
        <w:t>; and</w:t>
      </w:r>
    </w:p>
    <w:p w:rsidR="00136228" w:rsidRPr="00A631DB" w:rsidRDefault="00136228" w:rsidP="00A631DB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31DB">
        <w:rPr>
          <w:rFonts w:ascii="Times New Roman" w:hAnsi="Times New Roman" w:cs="Times New Roman"/>
          <w:i/>
          <w:sz w:val="24"/>
          <w:szCs w:val="24"/>
          <w:lang w:val="en-US"/>
        </w:rPr>
        <w:t>Voluntary Registration</w:t>
      </w:r>
      <w:r w:rsidRPr="00A631DB">
        <w:rPr>
          <w:rFonts w:ascii="Times New Roman" w:hAnsi="Times New Roman" w:cs="Times New Roman"/>
          <w:sz w:val="24"/>
          <w:szCs w:val="24"/>
          <w:lang w:val="en-US"/>
        </w:rPr>
        <w:t xml:space="preserve"> = All businesses where taxable supplies </w:t>
      </w:r>
      <w:r w:rsidR="00B75A3B" w:rsidRPr="00A631DB">
        <w:rPr>
          <w:rFonts w:ascii="Times New Roman" w:hAnsi="Times New Roman" w:cs="Times New Roman"/>
          <w:sz w:val="24"/>
          <w:szCs w:val="24"/>
          <w:lang w:val="en-US"/>
        </w:rPr>
        <w:t>is lower than</w:t>
      </w:r>
      <w:r w:rsidRPr="00A631DB">
        <w:rPr>
          <w:rFonts w:ascii="Times New Roman" w:hAnsi="Times New Roman" w:cs="Times New Roman"/>
          <w:sz w:val="24"/>
          <w:szCs w:val="24"/>
          <w:lang w:val="en-US"/>
        </w:rPr>
        <w:t xml:space="preserve"> the VAT registration threshold of SR2m</w:t>
      </w:r>
      <w:r w:rsidR="00512E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57D98" w:rsidRPr="00F77A34" w:rsidRDefault="00F57D98" w:rsidP="00F57D98">
      <w:pPr>
        <w:pStyle w:val="ListParagraph"/>
        <w:rPr>
          <w:rFonts w:ascii="Times New Roman" w:hAnsi="Times New Roman" w:cs="Times New Roman"/>
          <w:sz w:val="18"/>
          <w:szCs w:val="18"/>
          <w:lang w:val="en-US"/>
        </w:rPr>
      </w:pPr>
    </w:p>
    <w:p w:rsidR="00EF7C5A" w:rsidRDefault="00EF7C5A" w:rsidP="00F57D98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7C5A" w:rsidRDefault="00EF7C5A" w:rsidP="00F57D98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C4109" w:rsidRDefault="00EC4109" w:rsidP="00F57D98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7D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CRITERIA REQUIRED TO BE MET FOR </w:t>
      </w:r>
      <w:r w:rsidR="00670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VAT </w:t>
      </w:r>
      <w:r w:rsidRPr="00F57D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VOLUNTARILY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REGISTRATION</w:t>
      </w:r>
    </w:p>
    <w:p w:rsidR="00F57D98" w:rsidRPr="00F77A34" w:rsidRDefault="00F57D98" w:rsidP="00F57D98">
      <w:pPr>
        <w:pStyle w:val="ListParagraph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F57D98" w:rsidRPr="00B20CF2" w:rsidRDefault="00F57D98" w:rsidP="00A631DB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The person must be making taxable supplies</w:t>
      </w:r>
      <w:r w:rsidR="00512EA7">
        <w:rPr>
          <w:rFonts w:ascii="Times New Roman" w:hAnsi="Times New Roman" w:cs="Times New Roman"/>
          <w:lang w:val="en-US"/>
        </w:rPr>
        <w:t>;</w:t>
      </w:r>
    </w:p>
    <w:p w:rsidR="00F57D98" w:rsidRPr="00B20CF2" w:rsidRDefault="00F57D98" w:rsidP="00A631DB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The person must demonstrate that he has a fix place from which business is conducted;</w:t>
      </w:r>
    </w:p>
    <w:p w:rsidR="00F57D98" w:rsidRPr="00B20CF2" w:rsidRDefault="00F57D98" w:rsidP="00A631DB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If business has already commenced, the person must demonstrate that he has been keeping proper records;</w:t>
      </w:r>
    </w:p>
    <w:p w:rsidR="00F57D98" w:rsidRPr="00B20CF2" w:rsidRDefault="00F57D98" w:rsidP="00A631DB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If business has already commenced, the person must demonstrate that he has been compliant with all tax obligations under all revenue laws;</w:t>
      </w:r>
    </w:p>
    <w:p w:rsidR="00F57D98" w:rsidRPr="004C3183" w:rsidRDefault="00B75A3B" w:rsidP="004C3183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There must be</w:t>
      </w:r>
      <w:r w:rsidR="00F57D98" w:rsidRPr="00B20CF2">
        <w:rPr>
          <w:rFonts w:ascii="Times New Roman" w:hAnsi="Times New Roman" w:cs="Times New Roman"/>
          <w:lang w:val="en-US"/>
        </w:rPr>
        <w:t xml:space="preserve"> reasonable grounds to believe that the person will keep proper records and furnish regular and reliable returns</w:t>
      </w:r>
      <w:r w:rsidR="00512EA7">
        <w:rPr>
          <w:rFonts w:ascii="Times New Roman" w:hAnsi="Times New Roman" w:cs="Times New Roman"/>
          <w:lang w:val="en-US"/>
        </w:rPr>
        <w:t>; and</w:t>
      </w:r>
    </w:p>
    <w:p w:rsidR="003D4A0B" w:rsidRDefault="00875986" w:rsidP="00E70EA9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i/>
          <w:lang w:val="en-US"/>
        </w:rPr>
        <w:t>Voluntary Registration:</w:t>
      </w:r>
      <w:r w:rsidRPr="00B20CF2">
        <w:rPr>
          <w:rFonts w:ascii="Times New Roman" w:hAnsi="Times New Roman" w:cs="Times New Roman"/>
          <w:lang w:val="en-US"/>
        </w:rPr>
        <w:t xml:space="preserve"> Returns are </w:t>
      </w:r>
      <w:r w:rsidR="00B75A3B" w:rsidRPr="00B20CF2">
        <w:rPr>
          <w:rFonts w:ascii="Times New Roman" w:hAnsi="Times New Roman" w:cs="Times New Roman"/>
          <w:lang w:val="en-US"/>
        </w:rPr>
        <w:t xml:space="preserve">required to be </w:t>
      </w:r>
      <w:r w:rsidRPr="00B20CF2">
        <w:rPr>
          <w:rFonts w:ascii="Times New Roman" w:hAnsi="Times New Roman" w:cs="Times New Roman"/>
          <w:lang w:val="en-US"/>
        </w:rPr>
        <w:t xml:space="preserve">submitted on a </w:t>
      </w:r>
      <w:r w:rsidRPr="00B20CF2">
        <w:rPr>
          <w:rFonts w:ascii="Times New Roman" w:hAnsi="Times New Roman" w:cs="Times New Roman"/>
          <w:b/>
          <w:lang w:val="en-US"/>
        </w:rPr>
        <w:t>quarterly</w:t>
      </w:r>
      <w:r w:rsidRPr="00B20CF2">
        <w:rPr>
          <w:rFonts w:ascii="Times New Roman" w:hAnsi="Times New Roman" w:cs="Times New Roman"/>
          <w:lang w:val="en-US"/>
        </w:rPr>
        <w:t xml:space="preserve"> basis, on or before the 21</w:t>
      </w:r>
      <w:r w:rsidRPr="00B20CF2">
        <w:rPr>
          <w:rFonts w:ascii="Times New Roman" w:hAnsi="Times New Roman" w:cs="Times New Roman"/>
          <w:vertAlign w:val="superscript"/>
          <w:lang w:val="en-US"/>
        </w:rPr>
        <w:t>st</w:t>
      </w:r>
      <w:r w:rsidRPr="00B20CF2">
        <w:rPr>
          <w:rFonts w:ascii="Times New Roman" w:hAnsi="Times New Roman" w:cs="Times New Roman"/>
          <w:lang w:val="en-US"/>
        </w:rPr>
        <w:t xml:space="preserve"> day of the </w:t>
      </w:r>
      <w:r w:rsidR="00550962" w:rsidRPr="00B20CF2">
        <w:rPr>
          <w:rFonts w:ascii="Times New Roman" w:hAnsi="Times New Roman" w:cs="Times New Roman"/>
          <w:lang w:val="en-US"/>
        </w:rPr>
        <w:t xml:space="preserve">following </w:t>
      </w:r>
      <w:r w:rsidRPr="00B20CF2">
        <w:rPr>
          <w:rFonts w:ascii="Times New Roman" w:hAnsi="Times New Roman" w:cs="Times New Roman"/>
          <w:lang w:val="en-US"/>
        </w:rPr>
        <w:t>month</w:t>
      </w:r>
      <w:r w:rsidR="00550962" w:rsidRPr="00B20CF2">
        <w:rPr>
          <w:rFonts w:ascii="Times New Roman" w:hAnsi="Times New Roman" w:cs="Times New Roman"/>
          <w:lang w:val="en-US"/>
        </w:rPr>
        <w:t>s</w:t>
      </w:r>
      <w:r w:rsidRPr="00B20CF2">
        <w:rPr>
          <w:rFonts w:ascii="Times New Roman" w:hAnsi="Times New Roman" w:cs="Times New Roman"/>
          <w:lang w:val="en-US"/>
        </w:rPr>
        <w:t xml:space="preserve"> after </w:t>
      </w:r>
      <w:r w:rsidR="00550962" w:rsidRPr="00B20CF2">
        <w:rPr>
          <w:rFonts w:ascii="Times New Roman" w:hAnsi="Times New Roman" w:cs="Times New Roman"/>
          <w:lang w:val="en-US"/>
        </w:rPr>
        <w:t>the</w:t>
      </w:r>
      <w:r w:rsidRPr="00B20CF2">
        <w:rPr>
          <w:rFonts w:ascii="Times New Roman" w:hAnsi="Times New Roman" w:cs="Times New Roman"/>
          <w:lang w:val="en-US"/>
        </w:rPr>
        <w:t xml:space="preserve"> tax liability is due</w:t>
      </w:r>
      <w:r w:rsidR="00313141">
        <w:rPr>
          <w:rFonts w:ascii="Times New Roman" w:hAnsi="Times New Roman" w:cs="Times New Roman"/>
          <w:lang w:val="en-US"/>
        </w:rPr>
        <w:t>.</w:t>
      </w:r>
    </w:p>
    <w:p w:rsidR="00313141" w:rsidRPr="004C3183" w:rsidRDefault="00313141" w:rsidP="00313141">
      <w:pPr>
        <w:pStyle w:val="ListParagraph"/>
        <w:spacing w:after="0"/>
        <w:jc w:val="both"/>
        <w:rPr>
          <w:rFonts w:ascii="Times New Roman" w:hAnsi="Times New Roman" w:cs="Times New Roman"/>
          <w:lang w:val="en-US"/>
        </w:rPr>
      </w:pPr>
    </w:p>
    <w:p w:rsidR="005A7392" w:rsidRDefault="00EC4109" w:rsidP="00E70E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70EA9">
        <w:rPr>
          <w:rFonts w:ascii="Times New Roman" w:hAnsi="Times New Roman" w:cs="Times New Roman"/>
          <w:b/>
          <w:sz w:val="24"/>
          <w:szCs w:val="24"/>
          <w:lang w:val="en-US"/>
        </w:rPr>
        <w:t>RECORD KEEPING</w:t>
      </w:r>
    </w:p>
    <w:p w:rsidR="00313141" w:rsidRDefault="00313141" w:rsidP="00E70E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70EA9" w:rsidRPr="00B20CF2" w:rsidRDefault="00B75A3B" w:rsidP="00550962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b/>
          <w:lang w:val="en-US"/>
        </w:rPr>
        <w:t>All</w:t>
      </w:r>
      <w:r w:rsidRPr="00B20CF2">
        <w:rPr>
          <w:rFonts w:ascii="Times New Roman" w:hAnsi="Times New Roman" w:cs="Times New Roman"/>
          <w:lang w:val="en-US"/>
        </w:rPr>
        <w:t xml:space="preserve"> businesses must r</w:t>
      </w:r>
      <w:r w:rsidR="00E70EA9" w:rsidRPr="00B20CF2">
        <w:rPr>
          <w:rFonts w:ascii="Times New Roman" w:hAnsi="Times New Roman" w:cs="Times New Roman"/>
          <w:lang w:val="en-US"/>
        </w:rPr>
        <w:t>etain records for 7 years.</w:t>
      </w:r>
      <w:r w:rsidR="00916271" w:rsidRPr="00B20CF2">
        <w:rPr>
          <w:rFonts w:ascii="Times New Roman" w:hAnsi="Times New Roman" w:cs="Times New Roman"/>
          <w:lang w:val="en-US"/>
        </w:rPr>
        <w:t xml:space="preserve"> The following are examples of the types of records that have to be kept:</w:t>
      </w:r>
    </w:p>
    <w:p w:rsidR="00916271" w:rsidRPr="00B20CF2" w:rsidRDefault="00916271" w:rsidP="00550962">
      <w:pPr>
        <w:pStyle w:val="ListParagraph"/>
        <w:numPr>
          <w:ilvl w:val="2"/>
          <w:numId w:val="12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Stock purchased (Valid Tax Invoices)</w:t>
      </w:r>
      <w:r w:rsidR="00512EA7">
        <w:rPr>
          <w:rFonts w:ascii="Times New Roman" w:hAnsi="Times New Roman" w:cs="Times New Roman"/>
          <w:lang w:val="en-US"/>
        </w:rPr>
        <w:t>;</w:t>
      </w:r>
    </w:p>
    <w:p w:rsidR="00916271" w:rsidRPr="00B20CF2" w:rsidRDefault="00916271" w:rsidP="00550962">
      <w:pPr>
        <w:pStyle w:val="ListParagraph"/>
        <w:numPr>
          <w:ilvl w:val="2"/>
          <w:numId w:val="12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Expenses paid (Valid Tax Invoices)</w:t>
      </w:r>
      <w:r w:rsidR="00512EA7">
        <w:rPr>
          <w:rFonts w:ascii="Times New Roman" w:hAnsi="Times New Roman" w:cs="Times New Roman"/>
          <w:lang w:val="en-US"/>
        </w:rPr>
        <w:t>;</w:t>
      </w:r>
    </w:p>
    <w:p w:rsidR="00916271" w:rsidRPr="00B20CF2" w:rsidRDefault="00916271" w:rsidP="00550962">
      <w:pPr>
        <w:pStyle w:val="ListParagraph"/>
        <w:numPr>
          <w:ilvl w:val="2"/>
          <w:numId w:val="12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Sales or Revenue earned</w:t>
      </w:r>
      <w:r w:rsidR="00512EA7">
        <w:rPr>
          <w:rFonts w:ascii="Times New Roman" w:hAnsi="Times New Roman" w:cs="Times New Roman"/>
          <w:lang w:val="en-US"/>
        </w:rPr>
        <w:t>;</w:t>
      </w:r>
    </w:p>
    <w:p w:rsidR="00916271" w:rsidRPr="00B20CF2" w:rsidRDefault="00916271" w:rsidP="00550962">
      <w:pPr>
        <w:pStyle w:val="ListParagraph"/>
        <w:numPr>
          <w:ilvl w:val="2"/>
          <w:numId w:val="12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Assets acquired (Valid Tax Invoices)</w:t>
      </w:r>
      <w:r w:rsidR="00512EA7">
        <w:rPr>
          <w:rFonts w:ascii="Times New Roman" w:hAnsi="Times New Roman" w:cs="Times New Roman"/>
          <w:lang w:val="en-US"/>
        </w:rPr>
        <w:t>; and</w:t>
      </w:r>
    </w:p>
    <w:p w:rsidR="00916271" w:rsidRDefault="00916271" w:rsidP="00550962">
      <w:pPr>
        <w:pStyle w:val="ListParagraph"/>
        <w:numPr>
          <w:ilvl w:val="2"/>
          <w:numId w:val="12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Any money being paid out of the business for private use</w:t>
      </w:r>
      <w:r w:rsidR="00512EA7">
        <w:rPr>
          <w:rFonts w:ascii="Times New Roman" w:hAnsi="Times New Roman" w:cs="Times New Roman"/>
          <w:lang w:val="en-US"/>
        </w:rPr>
        <w:t>.</w:t>
      </w:r>
    </w:p>
    <w:p w:rsidR="00F77A34" w:rsidRPr="00B20CF2" w:rsidRDefault="00F77A34" w:rsidP="00F77A34">
      <w:pPr>
        <w:pStyle w:val="ListParagraph"/>
        <w:spacing w:after="0"/>
        <w:ind w:left="2160"/>
        <w:jc w:val="both"/>
        <w:rPr>
          <w:rFonts w:ascii="Times New Roman" w:hAnsi="Times New Roman" w:cs="Times New Roman"/>
          <w:lang w:val="en-US"/>
        </w:rPr>
      </w:pPr>
    </w:p>
    <w:p w:rsidR="00764D2D" w:rsidRDefault="00764D2D" w:rsidP="00E70EA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70EA9" w:rsidRPr="00550962" w:rsidRDefault="00B75A3B" w:rsidP="00A631DB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50962">
        <w:rPr>
          <w:rFonts w:ascii="Times New Roman" w:hAnsi="Times New Roman" w:cs="Times New Roman"/>
          <w:b/>
          <w:sz w:val="24"/>
          <w:szCs w:val="24"/>
          <w:lang w:val="en-US"/>
        </w:rPr>
        <w:t>OTHER TAXES</w:t>
      </w:r>
    </w:p>
    <w:p w:rsidR="00B20CF2" w:rsidRPr="00B20CF2" w:rsidRDefault="00B20CF2" w:rsidP="00D51576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51576" w:rsidRPr="00EC4109" w:rsidRDefault="00EC4109" w:rsidP="00D5157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4109">
        <w:rPr>
          <w:rFonts w:ascii="Times New Roman" w:hAnsi="Times New Roman" w:cs="Times New Roman"/>
          <w:b/>
          <w:sz w:val="24"/>
          <w:szCs w:val="24"/>
        </w:rPr>
        <w:t>CORPORATE SOCIAL RESPONSIBILITY TAX (CSRT)</w:t>
      </w:r>
    </w:p>
    <w:p w:rsidR="00B75A3B" w:rsidRPr="00B20CF2" w:rsidRDefault="00D51576" w:rsidP="0055096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</w:rPr>
        <w:t>A CSRT tax is imposed on a person whose annual turnover is equal to or exceeds the CSRT liability threshold of SR1m</w:t>
      </w:r>
      <w:r w:rsidR="00B75A3B" w:rsidRPr="00B20CF2">
        <w:rPr>
          <w:rFonts w:ascii="Times New Roman" w:hAnsi="Times New Roman" w:cs="Times New Roman"/>
        </w:rPr>
        <w:t>;</w:t>
      </w:r>
    </w:p>
    <w:p w:rsidR="00EC4109" w:rsidRPr="00B20CF2" w:rsidRDefault="00EC4109" w:rsidP="00EC4109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</w:rPr>
        <w:t>CSRT liability threshold is based on the annual turnover of a person for the tax year prior to the tax year in which the person is liable to pay CSRT</w:t>
      </w:r>
      <w:r w:rsidR="00512EA7">
        <w:rPr>
          <w:rFonts w:ascii="Times New Roman" w:hAnsi="Times New Roman" w:cs="Times New Roman"/>
        </w:rPr>
        <w:t>;</w:t>
      </w:r>
    </w:p>
    <w:p w:rsidR="00D51576" w:rsidRPr="00B20CF2" w:rsidRDefault="00B75A3B" w:rsidP="0055096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</w:rPr>
        <w:t xml:space="preserve">The applicable rate of tax </w:t>
      </w:r>
      <w:r w:rsidR="003A5E18" w:rsidRPr="00B20CF2">
        <w:rPr>
          <w:rFonts w:ascii="Times New Roman" w:hAnsi="Times New Roman" w:cs="Times New Roman"/>
        </w:rPr>
        <w:t>is 0.5 per cent</w:t>
      </w:r>
      <w:r w:rsidRPr="00B20CF2">
        <w:rPr>
          <w:rFonts w:ascii="Times New Roman" w:hAnsi="Times New Roman" w:cs="Times New Roman"/>
        </w:rPr>
        <w:t xml:space="preserve"> of the </w:t>
      </w:r>
      <w:r w:rsidR="00EC4109" w:rsidRPr="00B20CF2">
        <w:rPr>
          <w:rFonts w:ascii="Times New Roman" w:hAnsi="Times New Roman" w:cs="Times New Roman"/>
        </w:rPr>
        <w:t>monthly gross turnover</w:t>
      </w:r>
      <w:r w:rsidR="00512EA7">
        <w:rPr>
          <w:rFonts w:ascii="Times New Roman" w:hAnsi="Times New Roman" w:cs="Times New Roman"/>
        </w:rPr>
        <w:t>;</w:t>
      </w:r>
    </w:p>
    <w:p w:rsidR="00046E8C" w:rsidRPr="00B20CF2" w:rsidRDefault="00046E8C" w:rsidP="0055096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Of the .50%, a person may pay .25% of the CSRT amount to the SRC, and the other .25% by way of donations, sponsorship or projects funding to non-governmental organizations, associations or entities as approved by the Minister for Finance, Trade &amp; Economic Planning</w:t>
      </w:r>
      <w:r w:rsidR="00512EA7">
        <w:rPr>
          <w:rFonts w:ascii="Times New Roman" w:hAnsi="Times New Roman" w:cs="Times New Roman"/>
          <w:lang w:val="en-US"/>
        </w:rPr>
        <w:t>;</w:t>
      </w:r>
    </w:p>
    <w:p w:rsidR="00EC4109" w:rsidRPr="00B20CF2" w:rsidRDefault="007F7E32" w:rsidP="00046E8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</w:rPr>
        <w:t xml:space="preserve">CSRT </w:t>
      </w:r>
      <w:r w:rsidR="00DA3B7F" w:rsidRPr="00B20CF2">
        <w:rPr>
          <w:rFonts w:ascii="Times New Roman" w:hAnsi="Times New Roman" w:cs="Times New Roman"/>
        </w:rPr>
        <w:t xml:space="preserve">is </w:t>
      </w:r>
      <w:r w:rsidRPr="00B20CF2">
        <w:rPr>
          <w:rFonts w:ascii="Times New Roman" w:hAnsi="Times New Roman" w:cs="Times New Roman"/>
        </w:rPr>
        <w:t>payable on the Business Activity Statement every month and the date of payment is on or before the 21</w:t>
      </w:r>
      <w:r w:rsidRPr="00B20CF2">
        <w:rPr>
          <w:rFonts w:ascii="Times New Roman" w:hAnsi="Times New Roman" w:cs="Times New Roman"/>
          <w:vertAlign w:val="superscript"/>
        </w:rPr>
        <w:t>st</w:t>
      </w:r>
      <w:r w:rsidRPr="00B20CF2">
        <w:rPr>
          <w:rFonts w:ascii="Times New Roman" w:hAnsi="Times New Roman" w:cs="Times New Roman"/>
        </w:rPr>
        <w:t xml:space="preserve"> day of the month following the month in which the liability falls due</w:t>
      </w:r>
      <w:r w:rsidR="00512EA7">
        <w:rPr>
          <w:rFonts w:ascii="Times New Roman" w:hAnsi="Times New Roman" w:cs="Times New Roman"/>
        </w:rPr>
        <w:t>; and</w:t>
      </w:r>
    </w:p>
    <w:p w:rsidR="007F7E32" w:rsidRPr="00B20CF2" w:rsidRDefault="00B8602D" w:rsidP="007F7E3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form ‘List of Donations for Corporate Social Responsibility Tax’ should be completed and </w:t>
      </w:r>
      <w:r w:rsidR="00EC4109" w:rsidRPr="00B20CF2">
        <w:rPr>
          <w:rFonts w:ascii="Times New Roman" w:hAnsi="Times New Roman" w:cs="Times New Roman"/>
          <w:lang w:val="en-US"/>
        </w:rPr>
        <w:t>must be attached with the BAS form at the time of payment of the CSRT</w:t>
      </w:r>
      <w:r w:rsidR="00512EA7">
        <w:rPr>
          <w:rFonts w:ascii="Times New Roman" w:hAnsi="Times New Roman" w:cs="Times New Roman"/>
          <w:lang w:val="en-US"/>
        </w:rPr>
        <w:t>.</w:t>
      </w:r>
    </w:p>
    <w:p w:rsidR="007F7E32" w:rsidRPr="007F7E32" w:rsidRDefault="007F7E32" w:rsidP="007F7E32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7F7E32" w:rsidRPr="007F7E32" w:rsidRDefault="00EC4109" w:rsidP="007F7E32">
      <w:pPr>
        <w:pStyle w:val="ListParagraph"/>
        <w:widowControl w:val="0"/>
        <w:spacing w:after="0"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F7E32">
        <w:rPr>
          <w:rFonts w:ascii="Times New Roman" w:hAnsi="Times New Roman" w:cs="Times New Roman"/>
          <w:b/>
          <w:sz w:val="24"/>
          <w:szCs w:val="24"/>
        </w:rPr>
        <w:t>TOURISM MARKETING TAX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3B7F" w:rsidRPr="007F7E32">
        <w:rPr>
          <w:rFonts w:ascii="Times New Roman" w:hAnsi="Times New Roman" w:cs="Times New Roman"/>
          <w:b/>
          <w:sz w:val="24"/>
          <w:szCs w:val="24"/>
        </w:rPr>
        <w:t>(TMT)</w:t>
      </w:r>
      <w:r w:rsidR="00DA3B7F" w:rsidRPr="007F7E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7F7E32" w:rsidRDefault="007F7E32" w:rsidP="007F7E32">
      <w:pPr>
        <w:pStyle w:val="ListParagraph"/>
        <w:widowControl w:val="0"/>
        <w:spacing w:after="0" w:line="240" w:lineRule="auto"/>
        <w:ind w:right="-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A3B7F" w:rsidRPr="00B20CF2" w:rsidRDefault="007F7E32" w:rsidP="007F7E32">
      <w:pPr>
        <w:pStyle w:val="ListParagraph"/>
        <w:widowControl w:val="0"/>
        <w:numPr>
          <w:ilvl w:val="0"/>
          <w:numId w:val="12"/>
        </w:numPr>
        <w:spacing w:after="0" w:line="240" w:lineRule="auto"/>
        <w:ind w:right="-450"/>
        <w:jc w:val="both"/>
        <w:rPr>
          <w:rFonts w:ascii="Times New Roman" w:hAnsi="Times New Roman" w:cs="Times New Roman"/>
        </w:rPr>
      </w:pPr>
      <w:r w:rsidRPr="00B20CF2">
        <w:rPr>
          <w:rFonts w:ascii="Times New Roman" w:hAnsi="Times New Roman" w:cs="Times New Roman"/>
          <w:lang w:val="en-US"/>
        </w:rPr>
        <w:t xml:space="preserve">TMT </w:t>
      </w:r>
      <w:r w:rsidR="008B5A3C" w:rsidRPr="00B20CF2">
        <w:rPr>
          <w:rFonts w:ascii="Times New Roman" w:hAnsi="Times New Roman" w:cs="Times New Roman"/>
          <w:lang w:val="en-US"/>
        </w:rPr>
        <w:t>i</w:t>
      </w:r>
      <w:r w:rsidR="00DA3B7F" w:rsidRPr="00B20CF2">
        <w:rPr>
          <w:rFonts w:ascii="Times New Roman" w:hAnsi="Times New Roman" w:cs="Times New Roman"/>
          <w:lang w:val="en-US"/>
        </w:rPr>
        <w:t>s payable by tourism operators listed under the Eighth Schedule</w:t>
      </w:r>
      <w:r w:rsidR="008E264E" w:rsidRPr="00B20CF2">
        <w:rPr>
          <w:rFonts w:ascii="Times New Roman" w:hAnsi="Times New Roman" w:cs="Times New Roman"/>
          <w:lang w:val="en-US"/>
        </w:rPr>
        <w:t>-Business Tax Act 2009</w:t>
      </w:r>
      <w:r w:rsidR="00DA3B7F" w:rsidRPr="00B20CF2">
        <w:rPr>
          <w:rFonts w:ascii="Times New Roman" w:hAnsi="Times New Roman" w:cs="Times New Roman"/>
          <w:lang w:val="en-US"/>
        </w:rPr>
        <w:t xml:space="preserve">, </w:t>
      </w:r>
      <w:r w:rsidR="00EC4109" w:rsidRPr="00B20CF2">
        <w:rPr>
          <w:rFonts w:ascii="Times New Roman" w:hAnsi="Times New Roman" w:cs="Times New Roman"/>
          <w:lang w:val="en-US"/>
        </w:rPr>
        <w:t xml:space="preserve">that is </w:t>
      </w:r>
      <w:r w:rsidR="003A5E18" w:rsidRPr="00B20CF2">
        <w:rPr>
          <w:rFonts w:ascii="Times New Roman" w:hAnsi="Times New Roman" w:cs="Times New Roman"/>
          <w:lang w:val="en-US"/>
        </w:rPr>
        <w:t xml:space="preserve">all </w:t>
      </w:r>
      <w:r w:rsidR="00DA3B7F" w:rsidRPr="00B20CF2">
        <w:rPr>
          <w:rFonts w:ascii="Times New Roman" w:hAnsi="Times New Roman" w:cs="Times New Roman"/>
          <w:lang w:val="en-US"/>
        </w:rPr>
        <w:t>banks, insurer</w:t>
      </w:r>
      <w:r w:rsidR="003A5E18" w:rsidRPr="00B20CF2">
        <w:rPr>
          <w:rFonts w:ascii="Times New Roman" w:hAnsi="Times New Roman" w:cs="Times New Roman"/>
          <w:lang w:val="en-US"/>
        </w:rPr>
        <w:t xml:space="preserve"> companies (excluding brokers)</w:t>
      </w:r>
      <w:r w:rsidR="00512EA7">
        <w:rPr>
          <w:rFonts w:ascii="Times New Roman" w:hAnsi="Times New Roman" w:cs="Times New Roman"/>
          <w:lang w:val="en-US"/>
        </w:rPr>
        <w:t>,</w:t>
      </w:r>
      <w:r w:rsidR="00DA3B7F" w:rsidRPr="00B20CF2">
        <w:rPr>
          <w:rFonts w:ascii="Times New Roman" w:hAnsi="Times New Roman" w:cs="Times New Roman"/>
          <w:lang w:val="en-US"/>
        </w:rPr>
        <w:t xml:space="preserve"> telecommunication service providers</w:t>
      </w:r>
      <w:r w:rsidR="00512EA7">
        <w:rPr>
          <w:rFonts w:ascii="Times New Roman" w:hAnsi="Times New Roman" w:cs="Times New Roman"/>
          <w:lang w:val="en-US"/>
        </w:rPr>
        <w:t>, building contractors – Class 1 and casino operators</w:t>
      </w:r>
      <w:r w:rsidR="00DA3B7F" w:rsidRPr="00B20CF2">
        <w:rPr>
          <w:rFonts w:ascii="Times New Roman" w:hAnsi="Times New Roman" w:cs="Times New Roman"/>
          <w:lang w:val="en-US"/>
        </w:rPr>
        <w:t xml:space="preserve"> with a</w:t>
      </w:r>
      <w:r w:rsidR="008B5A3C" w:rsidRPr="00B20CF2">
        <w:rPr>
          <w:rFonts w:ascii="Times New Roman" w:hAnsi="Times New Roman" w:cs="Times New Roman"/>
          <w:lang w:val="en-US"/>
        </w:rPr>
        <w:t>n annual</w:t>
      </w:r>
      <w:r w:rsidR="00DA3B7F" w:rsidRPr="00B20CF2">
        <w:rPr>
          <w:rFonts w:ascii="Times New Roman" w:hAnsi="Times New Roman" w:cs="Times New Roman"/>
          <w:lang w:val="en-US"/>
        </w:rPr>
        <w:t xml:space="preserve"> turnover of SR1 Million or </w:t>
      </w:r>
      <w:r w:rsidR="006A59D4" w:rsidRPr="00B20CF2">
        <w:rPr>
          <w:rFonts w:ascii="Times New Roman" w:hAnsi="Times New Roman" w:cs="Times New Roman"/>
          <w:lang w:val="en-US"/>
        </w:rPr>
        <w:t>more</w:t>
      </w:r>
      <w:r w:rsidR="00512EA7">
        <w:rPr>
          <w:rFonts w:ascii="Times New Roman" w:hAnsi="Times New Roman" w:cs="Times New Roman"/>
          <w:lang w:val="en-US"/>
        </w:rPr>
        <w:t>;</w:t>
      </w:r>
    </w:p>
    <w:p w:rsidR="001070D7" w:rsidRPr="00B20CF2" w:rsidRDefault="001070D7" w:rsidP="001070D7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</w:rPr>
        <w:t>TMT liability threshold is based on the annual turnover of a person for the tax year prior to the tax year in which the person is liable to pay TMT</w:t>
      </w:r>
      <w:r w:rsidR="00512EA7">
        <w:rPr>
          <w:rFonts w:ascii="Times New Roman" w:hAnsi="Times New Roman" w:cs="Times New Roman"/>
        </w:rPr>
        <w:t>;</w:t>
      </w:r>
    </w:p>
    <w:p w:rsidR="00EC4109" w:rsidRPr="00B20CF2" w:rsidRDefault="003A5E18" w:rsidP="002D7DDB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</w:rPr>
        <w:t xml:space="preserve">The rate of TMT is 0.5 per cent </w:t>
      </w:r>
      <w:r w:rsidR="002D7DDB" w:rsidRPr="00B20CF2">
        <w:rPr>
          <w:rFonts w:ascii="Times New Roman" w:hAnsi="Times New Roman" w:cs="Times New Roman"/>
        </w:rPr>
        <w:t>per month on the monthly turnover of a person durin</w:t>
      </w:r>
      <w:r w:rsidR="00EC4109" w:rsidRPr="00B20CF2">
        <w:rPr>
          <w:rFonts w:ascii="Times New Roman" w:hAnsi="Times New Roman" w:cs="Times New Roman"/>
        </w:rPr>
        <w:t>g</w:t>
      </w:r>
      <w:r w:rsidR="002D7DDB" w:rsidRPr="00B20CF2">
        <w:rPr>
          <w:rFonts w:ascii="Times New Roman" w:hAnsi="Times New Roman" w:cs="Times New Roman"/>
        </w:rPr>
        <w:t xml:space="preserve"> the current year of payment</w:t>
      </w:r>
      <w:r w:rsidR="00512EA7">
        <w:rPr>
          <w:rFonts w:ascii="Times New Roman" w:hAnsi="Times New Roman" w:cs="Times New Roman"/>
        </w:rPr>
        <w:t>; and</w:t>
      </w:r>
    </w:p>
    <w:p w:rsidR="002D7DDB" w:rsidRPr="00B20CF2" w:rsidRDefault="00EC4109" w:rsidP="002D7DDB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</w:rPr>
        <w:t>Payment</w:t>
      </w:r>
      <w:r w:rsidR="002D7DDB" w:rsidRPr="00B20CF2">
        <w:rPr>
          <w:rFonts w:ascii="Times New Roman" w:hAnsi="Times New Roman" w:cs="Times New Roman"/>
        </w:rPr>
        <w:t xml:space="preserve"> must be remitted to SRC on or before the 21</w:t>
      </w:r>
      <w:r w:rsidR="002D7DDB" w:rsidRPr="00B20CF2">
        <w:rPr>
          <w:rFonts w:ascii="Times New Roman" w:hAnsi="Times New Roman" w:cs="Times New Roman"/>
          <w:vertAlign w:val="superscript"/>
        </w:rPr>
        <w:t>st</w:t>
      </w:r>
      <w:r w:rsidR="002D7DDB" w:rsidRPr="00B20CF2">
        <w:rPr>
          <w:rFonts w:ascii="Times New Roman" w:hAnsi="Times New Roman" w:cs="Times New Roman"/>
        </w:rPr>
        <w:t xml:space="preserve"> day of the month following the month in which the liability falls due</w:t>
      </w:r>
      <w:r w:rsidR="00512EA7">
        <w:rPr>
          <w:rFonts w:ascii="Times New Roman" w:hAnsi="Times New Roman" w:cs="Times New Roman"/>
        </w:rPr>
        <w:t>.</w:t>
      </w:r>
    </w:p>
    <w:p w:rsidR="00EF7C5A" w:rsidRDefault="00EF7C5A" w:rsidP="00550962">
      <w:pPr>
        <w:ind w:left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7C5A" w:rsidRDefault="00EF7C5A" w:rsidP="00550962">
      <w:pPr>
        <w:ind w:left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50962" w:rsidRPr="00550962" w:rsidRDefault="00EC4109" w:rsidP="00550962">
      <w:pPr>
        <w:ind w:left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50962">
        <w:rPr>
          <w:rFonts w:ascii="Times New Roman" w:hAnsi="Times New Roman" w:cs="Times New Roman"/>
          <w:b/>
          <w:sz w:val="24"/>
          <w:szCs w:val="24"/>
          <w:lang w:val="en-US"/>
        </w:rPr>
        <w:t>INCOME TAX</w:t>
      </w:r>
    </w:p>
    <w:p w:rsidR="00916271" w:rsidRDefault="00550962" w:rsidP="0055096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All persons in employment are liable for income tax</w:t>
      </w:r>
      <w:r w:rsidR="002D7DDB" w:rsidRPr="00B20CF2">
        <w:rPr>
          <w:rFonts w:ascii="Times New Roman" w:hAnsi="Times New Roman" w:cs="Times New Roman"/>
          <w:lang w:val="en-US"/>
        </w:rPr>
        <w:t>, unless the monthly salary</w:t>
      </w:r>
      <w:r w:rsidR="001070D7" w:rsidRPr="00B20CF2">
        <w:rPr>
          <w:rFonts w:ascii="Times New Roman" w:hAnsi="Times New Roman" w:cs="Times New Roman"/>
          <w:lang w:val="en-US"/>
        </w:rPr>
        <w:t xml:space="preserve"> including taxable allowances</w:t>
      </w:r>
      <w:r w:rsidR="002D7DDB" w:rsidRPr="00B20CF2">
        <w:rPr>
          <w:rFonts w:ascii="Times New Roman" w:hAnsi="Times New Roman" w:cs="Times New Roman"/>
          <w:lang w:val="en-US"/>
        </w:rPr>
        <w:t xml:space="preserve"> is less than SR8555.50</w:t>
      </w:r>
      <w:r w:rsidR="00210342">
        <w:rPr>
          <w:rFonts w:ascii="Times New Roman" w:hAnsi="Times New Roman" w:cs="Times New Roman"/>
          <w:lang w:val="en-US"/>
        </w:rPr>
        <w:t xml:space="preserve"> for Citizen of Seychelles in line with the Progre</w:t>
      </w:r>
      <w:r w:rsidR="00AA52CC">
        <w:rPr>
          <w:rFonts w:ascii="Times New Roman" w:hAnsi="Times New Roman" w:cs="Times New Roman"/>
          <w:lang w:val="en-US"/>
        </w:rPr>
        <w:t>ssive Income Tax Rates as of 1/6</w:t>
      </w:r>
      <w:r w:rsidR="00210342">
        <w:rPr>
          <w:rFonts w:ascii="Times New Roman" w:hAnsi="Times New Roman" w:cs="Times New Roman"/>
          <w:lang w:val="en-US"/>
        </w:rPr>
        <w:t>/18;</w:t>
      </w:r>
    </w:p>
    <w:p w:rsidR="006A1234" w:rsidRDefault="006A1234" w:rsidP="003D4A0B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lang w:val="en-US"/>
        </w:rPr>
      </w:pPr>
      <w:r w:rsidRPr="00E36998">
        <w:rPr>
          <w:rFonts w:ascii="Times New Roman" w:hAnsi="Times New Roman" w:cs="Times New Roman"/>
          <w:b/>
          <w:i/>
          <w:lang w:val="en-US"/>
        </w:rPr>
        <w:t>Non-Citizen of Seychelles is eligible to pay the Progressive Income Tax Rates for a Citizen of Seychelles where the Government of Seychelles has a D</w:t>
      </w:r>
      <w:r w:rsidR="00735316" w:rsidRPr="00E36998">
        <w:rPr>
          <w:rFonts w:ascii="Times New Roman" w:hAnsi="Times New Roman" w:cs="Times New Roman"/>
          <w:b/>
          <w:i/>
          <w:lang w:val="en-US"/>
        </w:rPr>
        <w:t xml:space="preserve">ouble </w:t>
      </w:r>
      <w:r w:rsidRPr="00E36998">
        <w:rPr>
          <w:rFonts w:ascii="Times New Roman" w:hAnsi="Times New Roman" w:cs="Times New Roman"/>
          <w:b/>
          <w:i/>
          <w:lang w:val="en-US"/>
        </w:rPr>
        <w:t>T</w:t>
      </w:r>
      <w:r w:rsidR="00735316" w:rsidRPr="00E36998">
        <w:rPr>
          <w:rFonts w:ascii="Times New Roman" w:hAnsi="Times New Roman" w:cs="Times New Roman"/>
          <w:b/>
          <w:i/>
          <w:lang w:val="en-US"/>
        </w:rPr>
        <w:t xml:space="preserve">axation </w:t>
      </w:r>
      <w:r w:rsidRPr="00E36998">
        <w:rPr>
          <w:rFonts w:ascii="Times New Roman" w:hAnsi="Times New Roman" w:cs="Times New Roman"/>
          <w:b/>
          <w:i/>
          <w:lang w:val="en-US"/>
        </w:rPr>
        <w:t>A</w:t>
      </w:r>
      <w:r w:rsidR="00735316" w:rsidRPr="00E36998">
        <w:rPr>
          <w:rFonts w:ascii="Times New Roman" w:hAnsi="Times New Roman" w:cs="Times New Roman"/>
          <w:b/>
          <w:i/>
          <w:lang w:val="en-US"/>
        </w:rPr>
        <w:t xml:space="preserve">voidance </w:t>
      </w:r>
      <w:r w:rsidRPr="00E36998">
        <w:rPr>
          <w:rFonts w:ascii="Times New Roman" w:hAnsi="Times New Roman" w:cs="Times New Roman"/>
          <w:b/>
          <w:i/>
          <w:lang w:val="en-US"/>
        </w:rPr>
        <w:t>A</w:t>
      </w:r>
      <w:r w:rsidR="00735316" w:rsidRPr="00E36998">
        <w:rPr>
          <w:rFonts w:ascii="Times New Roman" w:hAnsi="Times New Roman" w:cs="Times New Roman"/>
          <w:b/>
          <w:i/>
          <w:lang w:val="en-US"/>
        </w:rPr>
        <w:t>greement [DTAA]</w:t>
      </w:r>
      <w:r w:rsidRPr="00E36998">
        <w:rPr>
          <w:rFonts w:ascii="Times New Roman" w:hAnsi="Times New Roman" w:cs="Times New Roman"/>
          <w:b/>
          <w:i/>
          <w:lang w:val="en-US"/>
        </w:rPr>
        <w:t xml:space="preserve"> in force and </w:t>
      </w:r>
      <w:r w:rsidR="00E36998" w:rsidRPr="00E36998">
        <w:rPr>
          <w:rFonts w:ascii="Times New Roman" w:hAnsi="Times New Roman" w:cs="Times New Roman"/>
          <w:b/>
          <w:i/>
          <w:lang w:val="en-US"/>
        </w:rPr>
        <w:t xml:space="preserve">provided </w:t>
      </w:r>
      <w:r w:rsidRPr="00E36998">
        <w:rPr>
          <w:rFonts w:ascii="Times New Roman" w:hAnsi="Times New Roman" w:cs="Times New Roman"/>
          <w:b/>
          <w:i/>
          <w:lang w:val="en-US"/>
        </w:rPr>
        <w:t>that the person is physically present in Seychelles for a period of or amounting to aggregate period of 183 days or more in a twelve months [12] period that commences or ends during a tax year;</w:t>
      </w:r>
    </w:p>
    <w:p w:rsidR="005C625B" w:rsidRPr="00E36998" w:rsidRDefault="005C625B" w:rsidP="003D4A0B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>Based on the above, a Non-Citizen of Seychelles is eligible to pay the Progressive Income Tax Rates of a Citizen of Seychelles after the person has become a resident of Seychelles for tax purposes, physically present for a period of 183 days;</w:t>
      </w:r>
    </w:p>
    <w:p w:rsidR="00210342" w:rsidRDefault="00210342" w:rsidP="0055096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There are 4 Progressive Income Tax rate brackets for Citizen of Seychelles;</w:t>
      </w:r>
    </w:p>
    <w:p w:rsidR="00210342" w:rsidRPr="00210342" w:rsidRDefault="00210342" w:rsidP="0021034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There are 3 Progressive Income Tax rate brackets for Non-Citizen of Seychelles;</w:t>
      </w:r>
    </w:p>
    <w:p w:rsidR="00550962" w:rsidRPr="00B20CF2" w:rsidRDefault="00550962" w:rsidP="0055096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Income Tax is a tax deducted from the income of each employee on a monthly basis</w:t>
      </w:r>
      <w:r w:rsidR="00512EA7">
        <w:rPr>
          <w:rFonts w:ascii="Times New Roman" w:hAnsi="Times New Roman" w:cs="Times New Roman"/>
          <w:lang w:val="en-US"/>
        </w:rPr>
        <w:t>;</w:t>
      </w:r>
    </w:p>
    <w:p w:rsidR="00550962" w:rsidRPr="00B20CF2" w:rsidRDefault="00550962" w:rsidP="0055096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The employer is liable to deduct this tax and remit to SRC</w:t>
      </w:r>
      <w:r w:rsidR="00512EA7">
        <w:rPr>
          <w:rFonts w:ascii="Times New Roman" w:hAnsi="Times New Roman" w:cs="Times New Roman"/>
          <w:lang w:val="en-US"/>
        </w:rPr>
        <w:t>;</w:t>
      </w:r>
    </w:p>
    <w:p w:rsidR="00261C0F" w:rsidRPr="00B20CF2" w:rsidRDefault="00261C0F" w:rsidP="0055096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Income tax is due on the emolument of the employee when the salary is paid</w:t>
      </w:r>
      <w:r w:rsidR="00512EA7">
        <w:rPr>
          <w:rFonts w:ascii="Times New Roman" w:hAnsi="Times New Roman" w:cs="Times New Roman"/>
          <w:lang w:val="en-US"/>
        </w:rPr>
        <w:t>;</w:t>
      </w:r>
    </w:p>
    <w:p w:rsidR="00550962" w:rsidRPr="00B20CF2" w:rsidRDefault="00550962" w:rsidP="0055096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The due date for payment is 21</w:t>
      </w:r>
      <w:r w:rsidRPr="00B20CF2">
        <w:rPr>
          <w:rFonts w:ascii="Times New Roman" w:hAnsi="Times New Roman" w:cs="Times New Roman"/>
          <w:vertAlign w:val="superscript"/>
          <w:lang w:val="en-US"/>
        </w:rPr>
        <w:t>st</w:t>
      </w:r>
      <w:r w:rsidRPr="00B20CF2">
        <w:rPr>
          <w:rFonts w:ascii="Times New Roman" w:hAnsi="Times New Roman" w:cs="Times New Roman"/>
          <w:lang w:val="en-US"/>
        </w:rPr>
        <w:t xml:space="preserve"> of each month</w:t>
      </w:r>
      <w:r w:rsidR="00512EA7">
        <w:rPr>
          <w:rFonts w:ascii="Times New Roman" w:hAnsi="Times New Roman" w:cs="Times New Roman"/>
          <w:lang w:val="en-US"/>
        </w:rPr>
        <w:t>;</w:t>
      </w:r>
    </w:p>
    <w:p w:rsidR="00261C0F" w:rsidRPr="00B20CF2" w:rsidRDefault="00261C0F" w:rsidP="0055096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 xml:space="preserve">All income tax </w:t>
      </w:r>
      <w:r w:rsidR="00EC4109" w:rsidRPr="00B20CF2">
        <w:rPr>
          <w:rFonts w:ascii="Times New Roman" w:hAnsi="Times New Roman" w:cs="Times New Roman"/>
          <w:lang w:val="en-US"/>
        </w:rPr>
        <w:t>deduction</w:t>
      </w:r>
      <w:r w:rsidRPr="00B20CF2">
        <w:rPr>
          <w:rFonts w:ascii="Times New Roman" w:hAnsi="Times New Roman" w:cs="Times New Roman"/>
          <w:lang w:val="en-US"/>
        </w:rPr>
        <w:t xml:space="preserve"> must be </w:t>
      </w:r>
      <w:r w:rsidR="00EC4109" w:rsidRPr="00B20CF2">
        <w:rPr>
          <w:rFonts w:ascii="Times New Roman" w:hAnsi="Times New Roman" w:cs="Times New Roman"/>
          <w:lang w:val="en-US"/>
        </w:rPr>
        <w:t>recorded on</w:t>
      </w:r>
      <w:r w:rsidRPr="00B20CF2">
        <w:rPr>
          <w:rFonts w:ascii="Times New Roman" w:hAnsi="Times New Roman" w:cs="Times New Roman"/>
          <w:lang w:val="en-US"/>
        </w:rPr>
        <w:t xml:space="preserve"> a Payroll and a</w:t>
      </w:r>
      <w:r w:rsidR="00A631DB" w:rsidRPr="00B20CF2">
        <w:rPr>
          <w:rFonts w:ascii="Times New Roman" w:hAnsi="Times New Roman" w:cs="Times New Roman"/>
          <w:lang w:val="en-US"/>
        </w:rPr>
        <w:t xml:space="preserve">ttached to a </w:t>
      </w:r>
      <w:r w:rsidRPr="00B20CF2">
        <w:rPr>
          <w:rFonts w:ascii="Times New Roman" w:hAnsi="Times New Roman" w:cs="Times New Roman"/>
          <w:lang w:val="en-US"/>
        </w:rPr>
        <w:t>Business Activity Statement</w:t>
      </w:r>
      <w:r w:rsidR="00A631DB" w:rsidRPr="00B20CF2">
        <w:rPr>
          <w:rFonts w:ascii="Times New Roman" w:hAnsi="Times New Roman" w:cs="Times New Roman"/>
          <w:lang w:val="en-US"/>
        </w:rPr>
        <w:t xml:space="preserve"> every month</w:t>
      </w:r>
      <w:r w:rsidR="00570BFE">
        <w:rPr>
          <w:rFonts w:ascii="Times New Roman" w:hAnsi="Times New Roman" w:cs="Times New Roman"/>
          <w:lang w:val="en-US"/>
        </w:rPr>
        <w:t>.  Employer still required to submit a payroll even though there is no income tax liability due to the free threshold of SCR8, 555.50;</w:t>
      </w:r>
    </w:p>
    <w:p w:rsidR="00261C0F" w:rsidRPr="00B20CF2" w:rsidRDefault="00261C0F" w:rsidP="0055096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The payroll must contain the details of each employee, the taxable and non-taxable salary and allowances and the tax applicable</w:t>
      </w:r>
      <w:r w:rsidR="00512EA7">
        <w:rPr>
          <w:rFonts w:ascii="Times New Roman" w:hAnsi="Times New Roman" w:cs="Times New Roman"/>
          <w:lang w:val="en-US"/>
        </w:rPr>
        <w:t>;</w:t>
      </w:r>
    </w:p>
    <w:p w:rsidR="00261C0F" w:rsidRPr="00B20CF2" w:rsidRDefault="00261C0F" w:rsidP="0055096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>Employees are encouraged to verify whether their employer is remitting the tax deducted from their salary</w:t>
      </w:r>
      <w:r w:rsidR="00A631DB" w:rsidRPr="00B20CF2">
        <w:rPr>
          <w:rFonts w:ascii="Times New Roman" w:hAnsi="Times New Roman" w:cs="Times New Roman"/>
          <w:lang w:val="en-US"/>
        </w:rPr>
        <w:t xml:space="preserve"> every month</w:t>
      </w:r>
      <w:r w:rsidR="00512EA7">
        <w:rPr>
          <w:rFonts w:ascii="Times New Roman" w:hAnsi="Times New Roman" w:cs="Times New Roman"/>
          <w:lang w:val="en-US"/>
        </w:rPr>
        <w:t>;</w:t>
      </w:r>
    </w:p>
    <w:p w:rsidR="00261C0F" w:rsidRPr="00B20CF2" w:rsidRDefault="00261C0F" w:rsidP="0055096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 xml:space="preserve">Late payment of income tax is </w:t>
      </w:r>
      <w:r w:rsidR="00A631DB" w:rsidRPr="00B20CF2">
        <w:rPr>
          <w:rFonts w:ascii="Times New Roman" w:hAnsi="Times New Roman" w:cs="Times New Roman"/>
          <w:lang w:val="en-US"/>
        </w:rPr>
        <w:t xml:space="preserve">liable </w:t>
      </w:r>
      <w:r w:rsidRPr="00B20CF2">
        <w:rPr>
          <w:rFonts w:ascii="Times New Roman" w:hAnsi="Times New Roman" w:cs="Times New Roman"/>
          <w:lang w:val="en-US"/>
        </w:rPr>
        <w:t>to a penalty of 10% per annum</w:t>
      </w:r>
      <w:r w:rsidR="00512EA7">
        <w:rPr>
          <w:rFonts w:ascii="Times New Roman" w:hAnsi="Times New Roman" w:cs="Times New Roman"/>
          <w:lang w:val="en-US"/>
        </w:rPr>
        <w:t>;</w:t>
      </w:r>
    </w:p>
    <w:p w:rsidR="00550962" w:rsidRPr="00210342" w:rsidRDefault="00210342" w:rsidP="0021034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new income tax calculator is provided on the SRC Website to determine the income tax payable under the Progressive Income Tax Rate for Citizen of Seychelles and Non-Citizen of Seychelles; and</w:t>
      </w:r>
    </w:p>
    <w:p w:rsidR="00261C0F" w:rsidRPr="00B20CF2" w:rsidRDefault="005E0030" w:rsidP="0055096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en-US"/>
        </w:rPr>
      </w:pPr>
      <w:r w:rsidRPr="00B20CF2">
        <w:rPr>
          <w:rFonts w:ascii="Times New Roman" w:hAnsi="Times New Roman" w:cs="Times New Roman"/>
          <w:lang w:val="en-US"/>
        </w:rPr>
        <w:t xml:space="preserve">There are special rates of tax for certain category of businesses.  Please consult the Income &amp; Non-Monetary Benefits Tax Act </w:t>
      </w:r>
      <w:r w:rsidR="00A631DB" w:rsidRPr="00B20CF2">
        <w:rPr>
          <w:rFonts w:ascii="Times New Roman" w:hAnsi="Times New Roman" w:cs="Times New Roman"/>
          <w:lang w:val="en-US"/>
        </w:rPr>
        <w:t>and</w:t>
      </w:r>
      <w:r w:rsidRPr="00B20CF2">
        <w:rPr>
          <w:rFonts w:ascii="Times New Roman" w:hAnsi="Times New Roman" w:cs="Times New Roman"/>
          <w:lang w:val="en-US"/>
        </w:rPr>
        <w:t xml:space="preserve"> the SRC website</w:t>
      </w:r>
      <w:r w:rsidR="00A631DB" w:rsidRPr="00B20CF2">
        <w:rPr>
          <w:rFonts w:ascii="Times New Roman" w:hAnsi="Times New Roman" w:cs="Times New Roman"/>
          <w:lang w:val="en-US"/>
        </w:rPr>
        <w:t xml:space="preserve"> at </w:t>
      </w:r>
      <w:hyperlink r:id="rId7" w:history="1">
        <w:r w:rsidR="00A631DB" w:rsidRPr="00B20CF2">
          <w:rPr>
            <w:rStyle w:val="Hyperlink"/>
            <w:rFonts w:ascii="Times New Roman" w:hAnsi="Times New Roman" w:cs="Times New Roman"/>
            <w:lang w:val="en-US"/>
          </w:rPr>
          <w:t>www.src.gov.sc</w:t>
        </w:r>
      </w:hyperlink>
      <w:r w:rsidR="00512EA7">
        <w:rPr>
          <w:rStyle w:val="Hyperlink"/>
          <w:rFonts w:ascii="Times New Roman" w:hAnsi="Times New Roman" w:cs="Times New Roman"/>
          <w:lang w:val="en-US"/>
        </w:rPr>
        <w:t>.</w:t>
      </w:r>
      <w:r w:rsidR="00A631DB" w:rsidRPr="00B20CF2">
        <w:rPr>
          <w:rFonts w:ascii="Times New Roman" w:hAnsi="Times New Roman" w:cs="Times New Roman"/>
          <w:lang w:val="en-US"/>
        </w:rPr>
        <w:t xml:space="preserve"> </w:t>
      </w:r>
    </w:p>
    <w:p w:rsidR="00227DAA" w:rsidRDefault="00227DAA" w:rsidP="00B10ED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96046" w:rsidRPr="00B10ED7" w:rsidRDefault="00A96046" w:rsidP="00B10ED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0ED7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="00B10ED7" w:rsidRPr="00B10E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07F6">
        <w:rPr>
          <w:rFonts w:ascii="Times New Roman" w:hAnsi="Times New Roman" w:cs="Times New Roman"/>
          <w:sz w:val="24"/>
          <w:szCs w:val="24"/>
          <w:lang w:val="en-US"/>
        </w:rPr>
        <w:t xml:space="preserve">published: </w:t>
      </w:r>
      <w:r w:rsidR="00E976A3">
        <w:rPr>
          <w:rFonts w:ascii="Times New Roman" w:hAnsi="Times New Roman" w:cs="Times New Roman"/>
          <w:sz w:val="24"/>
          <w:szCs w:val="24"/>
          <w:lang w:val="en-US"/>
        </w:rPr>
        <w:t>22/07</w:t>
      </w:r>
      <w:bookmarkStart w:id="0" w:name="_GoBack"/>
      <w:bookmarkEnd w:id="0"/>
      <w:r w:rsidR="00570BFE">
        <w:rPr>
          <w:rFonts w:ascii="Times New Roman" w:hAnsi="Times New Roman" w:cs="Times New Roman"/>
          <w:sz w:val="24"/>
          <w:szCs w:val="24"/>
          <w:lang w:val="en-US"/>
        </w:rPr>
        <w:t>/2019</w:t>
      </w:r>
    </w:p>
    <w:sectPr w:rsidR="00A96046" w:rsidRPr="00B10ED7" w:rsidSect="00F77A34">
      <w:pgSz w:w="11906" w:h="16838"/>
      <w:pgMar w:top="187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103"/>
    <w:multiLevelType w:val="hybridMultilevel"/>
    <w:tmpl w:val="E788E302"/>
    <w:lvl w:ilvl="0" w:tplc="5180F9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455AA"/>
    <w:multiLevelType w:val="hybridMultilevel"/>
    <w:tmpl w:val="5FC2FE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0198C"/>
    <w:multiLevelType w:val="hybridMultilevel"/>
    <w:tmpl w:val="578AE5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63F17"/>
    <w:multiLevelType w:val="hybridMultilevel"/>
    <w:tmpl w:val="1DB8988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04D98"/>
    <w:multiLevelType w:val="hybridMultilevel"/>
    <w:tmpl w:val="2120242A"/>
    <w:lvl w:ilvl="0" w:tplc="5180F9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77337"/>
    <w:multiLevelType w:val="hybridMultilevel"/>
    <w:tmpl w:val="9C7A6F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0E0BA8"/>
    <w:multiLevelType w:val="hybridMultilevel"/>
    <w:tmpl w:val="1B1EB770"/>
    <w:lvl w:ilvl="0" w:tplc="5180F9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A0258"/>
    <w:multiLevelType w:val="hybridMultilevel"/>
    <w:tmpl w:val="3D74F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EC5543"/>
    <w:multiLevelType w:val="hybridMultilevel"/>
    <w:tmpl w:val="73422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526E3E"/>
    <w:multiLevelType w:val="hybridMultilevel"/>
    <w:tmpl w:val="F09E8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10196B"/>
    <w:multiLevelType w:val="hybridMultilevel"/>
    <w:tmpl w:val="B7B29B9A"/>
    <w:lvl w:ilvl="0" w:tplc="5180F9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B21A00"/>
    <w:multiLevelType w:val="hybridMultilevel"/>
    <w:tmpl w:val="3828D2C8"/>
    <w:lvl w:ilvl="0" w:tplc="5180F9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C92876"/>
    <w:multiLevelType w:val="hybridMultilevel"/>
    <w:tmpl w:val="D6EC9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6263AF"/>
    <w:multiLevelType w:val="hybridMultilevel"/>
    <w:tmpl w:val="D6A64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6C19C6"/>
    <w:multiLevelType w:val="hybridMultilevel"/>
    <w:tmpl w:val="29DC58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D67"/>
    <w:multiLevelType w:val="hybridMultilevel"/>
    <w:tmpl w:val="9CD65266"/>
    <w:lvl w:ilvl="0" w:tplc="9DBCC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E74951"/>
    <w:multiLevelType w:val="hybridMultilevel"/>
    <w:tmpl w:val="B7129D76"/>
    <w:lvl w:ilvl="0" w:tplc="5180F9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91625A"/>
    <w:multiLevelType w:val="hybridMultilevel"/>
    <w:tmpl w:val="2CC4C3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4C0BB0"/>
    <w:multiLevelType w:val="hybridMultilevel"/>
    <w:tmpl w:val="0DF6F1B0"/>
    <w:lvl w:ilvl="0" w:tplc="5180F9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9720E9"/>
    <w:multiLevelType w:val="hybridMultilevel"/>
    <w:tmpl w:val="B9D2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92395E"/>
    <w:multiLevelType w:val="hybridMultilevel"/>
    <w:tmpl w:val="2BA23C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9"/>
  </w:num>
  <w:num w:numId="5">
    <w:abstractNumId w:val="14"/>
  </w:num>
  <w:num w:numId="6">
    <w:abstractNumId w:val="8"/>
  </w:num>
  <w:num w:numId="7">
    <w:abstractNumId w:val="1"/>
  </w:num>
  <w:num w:numId="8">
    <w:abstractNumId w:val="0"/>
  </w:num>
  <w:num w:numId="9">
    <w:abstractNumId w:val="15"/>
  </w:num>
  <w:num w:numId="10">
    <w:abstractNumId w:val="3"/>
  </w:num>
  <w:num w:numId="11">
    <w:abstractNumId w:val="19"/>
  </w:num>
  <w:num w:numId="12">
    <w:abstractNumId w:val="6"/>
  </w:num>
  <w:num w:numId="13">
    <w:abstractNumId w:val="5"/>
  </w:num>
  <w:num w:numId="14">
    <w:abstractNumId w:val="11"/>
  </w:num>
  <w:num w:numId="15">
    <w:abstractNumId w:val="10"/>
  </w:num>
  <w:num w:numId="16">
    <w:abstractNumId w:val="18"/>
  </w:num>
  <w:num w:numId="17">
    <w:abstractNumId w:val="4"/>
  </w:num>
  <w:num w:numId="18">
    <w:abstractNumId w:val="16"/>
  </w:num>
  <w:num w:numId="19">
    <w:abstractNumId w:val="20"/>
  </w:num>
  <w:num w:numId="20">
    <w:abstractNumId w:val="17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2F2C"/>
    <w:rsid w:val="000238F2"/>
    <w:rsid w:val="00026B40"/>
    <w:rsid w:val="00046B9D"/>
    <w:rsid w:val="00046E8C"/>
    <w:rsid w:val="000B531B"/>
    <w:rsid w:val="000F5310"/>
    <w:rsid w:val="001070D7"/>
    <w:rsid w:val="0012649B"/>
    <w:rsid w:val="00136228"/>
    <w:rsid w:val="00137FB5"/>
    <w:rsid w:val="001462E9"/>
    <w:rsid w:val="00147124"/>
    <w:rsid w:val="00152390"/>
    <w:rsid w:val="0016516F"/>
    <w:rsid w:val="001A0FA5"/>
    <w:rsid w:val="001B2DA0"/>
    <w:rsid w:val="001B71D2"/>
    <w:rsid w:val="001B7E16"/>
    <w:rsid w:val="001C48C6"/>
    <w:rsid w:val="001D00F8"/>
    <w:rsid w:val="001E16F2"/>
    <w:rsid w:val="00210342"/>
    <w:rsid w:val="00215E7B"/>
    <w:rsid w:val="002257A6"/>
    <w:rsid w:val="00227DAA"/>
    <w:rsid w:val="002319F7"/>
    <w:rsid w:val="00240B78"/>
    <w:rsid w:val="00261C0F"/>
    <w:rsid w:val="00274E6F"/>
    <w:rsid w:val="00296433"/>
    <w:rsid w:val="002A32B3"/>
    <w:rsid w:val="002D34A1"/>
    <w:rsid w:val="002D7DDB"/>
    <w:rsid w:val="002F5857"/>
    <w:rsid w:val="0031170E"/>
    <w:rsid w:val="00313141"/>
    <w:rsid w:val="00321FA7"/>
    <w:rsid w:val="0033426D"/>
    <w:rsid w:val="003476A2"/>
    <w:rsid w:val="003544E6"/>
    <w:rsid w:val="00377D96"/>
    <w:rsid w:val="003A5A29"/>
    <w:rsid w:val="003A5E18"/>
    <w:rsid w:val="003D4A0B"/>
    <w:rsid w:val="003F70D1"/>
    <w:rsid w:val="0041369E"/>
    <w:rsid w:val="004475B3"/>
    <w:rsid w:val="004573C5"/>
    <w:rsid w:val="00457566"/>
    <w:rsid w:val="004606F3"/>
    <w:rsid w:val="004A3364"/>
    <w:rsid w:val="004C3183"/>
    <w:rsid w:val="00512EA7"/>
    <w:rsid w:val="00543206"/>
    <w:rsid w:val="00550962"/>
    <w:rsid w:val="00570BFE"/>
    <w:rsid w:val="0057626F"/>
    <w:rsid w:val="005A00BF"/>
    <w:rsid w:val="005A7392"/>
    <w:rsid w:val="005C0DA8"/>
    <w:rsid w:val="005C2878"/>
    <w:rsid w:val="005C48ED"/>
    <w:rsid w:val="005C625B"/>
    <w:rsid w:val="005D114E"/>
    <w:rsid w:val="005E0030"/>
    <w:rsid w:val="005E6913"/>
    <w:rsid w:val="005F1182"/>
    <w:rsid w:val="005F6F57"/>
    <w:rsid w:val="00621123"/>
    <w:rsid w:val="00625935"/>
    <w:rsid w:val="00670328"/>
    <w:rsid w:val="00672DD0"/>
    <w:rsid w:val="00674687"/>
    <w:rsid w:val="0069670A"/>
    <w:rsid w:val="006A046A"/>
    <w:rsid w:val="006A1234"/>
    <w:rsid w:val="006A59D4"/>
    <w:rsid w:val="00706E20"/>
    <w:rsid w:val="007132F6"/>
    <w:rsid w:val="00735316"/>
    <w:rsid w:val="00764D2D"/>
    <w:rsid w:val="007C177F"/>
    <w:rsid w:val="007D2522"/>
    <w:rsid w:val="007D6461"/>
    <w:rsid w:val="007E1F6F"/>
    <w:rsid w:val="007E7B03"/>
    <w:rsid w:val="007F6A33"/>
    <w:rsid w:val="007F7E32"/>
    <w:rsid w:val="00820E63"/>
    <w:rsid w:val="00825B62"/>
    <w:rsid w:val="00847241"/>
    <w:rsid w:val="0085023D"/>
    <w:rsid w:val="0085284E"/>
    <w:rsid w:val="00870C02"/>
    <w:rsid w:val="00875986"/>
    <w:rsid w:val="00875EBE"/>
    <w:rsid w:val="00880A63"/>
    <w:rsid w:val="00884C5E"/>
    <w:rsid w:val="008B2F2C"/>
    <w:rsid w:val="008B5A3C"/>
    <w:rsid w:val="008C2A6D"/>
    <w:rsid w:val="008D2723"/>
    <w:rsid w:val="008D3526"/>
    <w:rsid w:val="008E264E"/>
    <w:rsid w:val="008E4FB0"/>
    <w:rsid w:val="00901801"/>
    <w:rsid w:val="00916271"/>
    <w:rsid w:val="0093262E"/>
    <w:rsid w:val="00932B77"/>
    <w:rsid w:val="00943096"/>
    <w:rsid w:val="00960729"/>
    <w:rsid w:val="00961950"/>
    <w:rsid w:val="009746AC"/>
    <w:rsid w:val="009A1D1D"/>
    <w:rsid w:val="009B4F8D"/>
    <w:rsid w:val="009E4CC1"/>
    <w:rsid w:val="009E77AE"/>
    <w:rsid w:val="009F11F6"/>
    <w:rsid w:val="00A15301"/>
    <w:rsid w:val="00A42B7F"/>
    <w:rsid w:val="00A430BA"/>
    <w:rsid w:val="00A631DB"/>
    <w:rsid w:val="00A96046"/>
    <w:rsid w:val="00AA52CC"/>
    <w:rsid w:val="00AC2EAC"/>
    <w:rsid w:val="00AD1949"/>
    <w:rsid w:val="00B03C85"/>
    <w:rsid w:val="00B10ED7"/>
    <w:rsid w:val="00B20CF2"/>
    <w:rsid w:val="00B75A3B"/>
    <w:rsid w:val="00B76BA4"/>
    <w:rsid w:val="00B8602D"/>
    <w:rsid w:val="00B87096"/>
    <w:rsid w:val="00BC4540"/>
    <w:rsid w:val="00BC7CF1"/>
    <w:rsid w:val="00BE46F7"/>
    <w:rsid w:val="00C03651"/>
    <w:rsid w:val="00C12864"/>
    <w:rsid w:val="00C1772D"/>
    <w:rsid w:val="00C26E9A"/>
    <w:rsid w:val="00C4203D"/>
    <w:rsid w:val="00C64A20"/>
    <w:rsid w:val="00C7003B"/>
    <w:rsid w:val="00C72C93"/>
    <w:rsid w:val="00C942AD"/>
    <w:rsid w:val="00C9726F"/>
    <w:rsid w:val="00CD7AD0"/>
    <w:rsid w:val="00CE0079"/>
    <w:rsid w:val="00D07992"/>
    <w:rsid w:val="00D224CD"/>
    <w:rsid w:val="00D2279E"/>
    <w:rsid w:val="00D51576"/>
    <w:rsid w:val="00D5622A"/>
    <w:rsid w:val="00D71A49"/>
    <w:rsid w:val="00DA3B7F"/>
    <w:rsid w:val="00DB0860"/>
    <w:rsid w:val="00DD2CB4"/>
    <w:rsid w:val="00DF711D"/>
    <w:rsid w:val="00E017B0"/>
    <w:rsid w:val="00E36998"/>
    <w:rsid w:val="00E552FB"/>
    <w:rsid w:val="00E55A9A"/>
    <w:rsid w:val="00E625A4"/>
    <w:rsid w:val="00E6423B"/>
    <w:rsid w:val="00E70EA9"/>
    <w:rsid w:val="00E9095F"/>
    <w:rsid w:val="00E92889"/>
    <w:rsid w:val="00E976A3"/>
    <w:rsid w:val="00EC1769"/>
    <w:rsid w:val="00EC4109"/>
    <w:rsid w:val="00EC59A9"/>
    <w:rsid w:val="00ED663E"/>
    <w:rsid w:val="00EE4420"/>
    <w:rsid w:val="00EF3B5E"/>
    <w:rsid w:val="00EF7C5A"/>
    <w:rsid w:val="00F02F99"/>
    <w:rsid w:val="00F336E7"/>
    <w:rsid w:val="00F36D98"/>
    <w:rsid w:val="00F5256B"/>
    <w:rsid w:val="00F57D98"/>
    <w:rsid w:val="00F64D33"/>
    <w:rsid w:val="00F70EE3"/>
    <w:rsid w:val="00F77A34"/>
    <w:rsid w:val="00F85EAA"/>
    <w:rsid w:val="00F8609B"/>
    <w:rsid w:val="00F9127C"/>
    <w:rsid w:val="00FA090E"/>
    <w:rsid w:val="00FB07F6"/>
    <w:rsid w:val="00FB3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F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F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369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A59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9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9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9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9D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096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22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rc.gov.s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E87C8-7DC7-4CF5-B3E2-C3E6F9EF3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2068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helena.athanase</dc:creator>
  <cp:lastModifiedBy>Manuela</cp:lastModifiedBy>
  <cp:revision>2</cp:revision>
  <cp:lastPrinted>2019-07-22T03:47:00Z</cp:lastPrinted>
  <dcterms:created xsi:type="dcterms:W3CDTF">2020-04-07T09:29:00Z</dcterms:created>
  <dcterms:modified xsi:type="dcterms:W3CDTF">2020-04-07T09:29:00Z</dcterms:modified>
</cp:coreProperties>
</file>